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inweis"/>
      </w:pPr>
      <w:r>
        <w:rPr>
          <w:b/>
        </w:rPr>
        <w:t xml:space="preserve">Stundenentwurf</w:t>
      </w:r>
    </w:p>
    <w:p>
      <w:pPr>
        <w:pStyle w:val="Titel"/>
      </w:pPr>
      <w:r>
        <w:t xml:space="preserve">Wenn der Chatbot zum Freund wird</w:t>
      </w:r>
    </w:p>
    <w:p>
      <w:pPr>
        <w:pStyle w:val="Hinweis"/>
      </w:pPr>
      <w:r>
        <w:t xml:space="preserve">Zur Lektion „Wenn der Chatbot zum Freund wird“ · Kurs Einstieg · Kapitel 2: Feed und Chatbot durchschauen · Lektion 2 · 45 Minuten, als Doppelstunde 90 · geht ganz ohne KI-Zugang</w:t>
      </w:r>
    </w:p>
    <w:p>
      <w:r>
        <w:rPr>
          <w:b/>
        </w:rPr>
        <w:t xml:space="preserve">Entwurf: noch nicht fachlich geprüft.</w:t>
      </w:r>
      <w:r>
        <w:t xml:space="preserve"> Dieses Material ist ein Entwurf. Es wurde noch von keiner Lehrkraft fachlich geprüft oder im Unterricht erprobt. Bitte lesen Sie es vor dem Einsatz selbst und passen Sie es an Ihre Klasse an.</w:t>
      </w:r>
    </w:p>
    <w:p>
      <w:r>
        <w:rPr>
          <w:b/>
        </w:rPr>
        <w:t xml:space="preserve">Lernziel:</w:t>
      </w:r>
      <w:r>
        <w:t xml:space="preserve"> Die Schülerinnen und Schüler erklären, dass ein Chatbot Wörter nach Wahrscheinlichkeit wählt und keine Gefühle hat, erkennen Anzeichen, dass ein Begleit-Chatbot zu viel Raum einnimmt, und kennen Menschen und Beratungsstellen für echte Sorgen.</w:t>
      </w:r>
    </w:p>
    <w:p>
      <w:r>
        <w:rPr>
          <w:b/>
        </w:rPr>
        <w:t xml:space="preserve">Vorwissen:</w:t>
      </w:r>
      <w:r>
        <w:t xml:space="preserve"> Keins. Hilfreich ist die Stunde „Wie ein Chatbot antwortet“.</w:t>
      </w:r>
    </w:p>
    <w:p>
      <w:pPr>
        <w:pStyle w:val="berschrift1"/>
      </w:pPr>
      <w:r>
        <w:t xml:space="preserve">Material</w:t>
      </w:r>
    </w:p>
    <w:p>
      <w:pPr>
        <w:pStyle w:val="Aufzhlungszeichen"/>
      </w:pPr>
      <w:r>
        <w:t xml:space="preserve">•  Einstiegsfolie, als Gliederung auf der letzten Seite</w:t>
      </w:r>
    </w:p>
    <w:p>
      <w:pPr>
        <w:pStyle w:val="Aufzhlungszeichen"/>
      </w:pPr>
      <w:r>
        <w:t xml:space="preserve">•  Arbeitsblatt mit Lösungsbogen, aus derselben Lektion</w:t>
      </w:r>
    </w:p>
    <w:p>
      <w:pPr>
        <w:pStyle w:val="Aufzhlungszeichen"/>
      </w:pPr>
      <w:r>
        <w:t xml:space="preserve">•  Praxisauftrag, aus derselben Lektion</w:t>
      </w:r>
    </w:p>
    <w:p>
      <w:pPr>
        <w:pStyle w:val="Aufzhlungszeichen"/>
      </w:pPr>
      <w:r>
        <w:t xml:space="preserve">•  Schreibauftrag mit Bewertungsraster, aus derselben Lektion</w:t>
      </w:r>
    </w:p>
    <w:p>
      <w:pPr>
        <w:pStyle w:val="Aufzhlungszeichen"/>
      </w:pPr>
      <w:r>
        <w:t xml:space="preserve">•  Karteikarten, aus derselben Lektion</w:t>
      </w:r>
    </w:p>
    <w:p>
      <w:pPr>
        <w:pStyle w:val="berschrift1"/>
      </w:pPr>
      <w:r>
        <w:t xml:space="preserve">Ablauf der Einzelstunde,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0 bis 7</w:t>
            </w:r>
          </w:p>
        </w:tc>
        <w:tc>
          <w:tcPr>
            <w:tcW w:w="1361" w:type="dxa"/>
          </w:tcPr>
          <w:p>
            <w:pPr>
              <w:pStyle w:val="Tabelle"/>
            </w:pPr>
            <w:r>
              <w:rPr>
                <w:b/>
              </w:rPr>
              <w:t xml:space="preserve">Einstieg</w:t>
            </w:r>
            <w:r>
              <w:t xml:space="preserve">, Plenum</w:t>
            </w:r>
          </w:p>
        </w:tc>
        <w:tc>
          <w:tcPr>
            <w:tcW w:w="2449" w:type="dxa"/>
          </w:tcPr>
          <w:p>
            <w:pPr>
              <w:pStyle w:val="Tabelle"/>
            </w:pPr>
            <w:r>
              <w:t xml:space="preserve">Zeigt die Einstiegsfolie und sammelt, was „vermissen“ voraussetzt.</w:t>
            </w:r>
          </w:p>
        </w:tc>
        <w:tc>
          <w:tcPr>
            <w:tcW w:w="2449" w:type="dxa"/>
          </w:tcPr>
          <w:p>
            <w:pPr>
              <w:pStyle w:val="Tabelle"/>
            </w:pPr>
            <w:r>
              <w:t xml:space="preserve">Überlegen, was ein Chatbot können müsste, damit „Ich hab dich vermisst“ wahr wäre.</w:t>
            </w:r>
          </w:p>
        </w:tc>
        <w:tc>
          <w:tcPr>
            <w:tcW w:w="2086" w:type="dxa"/>
          </w:tcPr>
          <w:p>
            <w:pPr>
              <w:pStyle w:val="Tabelle"/>
            </w:pPr>
            <w:r>
              <w:t xml:space="preserve">Einstiegsfolie</w:t>
            </w:r>
          </w:p>
        </w:tc>
      </w:tr>
      <w:tr>
        <w:tc>
          <w:tcPr>
            <w:tcW w:w="726" w:type="dxa"/>
          </w:tcPr>
          <w:p>
            <w:pPr>
              <w:pStyle w:val="Tabelle"/>
            </w:pPr>
            <w:r>
              <w:t xml:space="preserve">7 bis 21</w:t>
            </w:r>
          </w:p>
        </w:tc>
        <w:tc>
          <w:tcPr>
            <w:tcW w:w="1361" w:type="dxa"/>
          </w:tcPr>
          <w:p>
            <w:pPr>
              <w:pStyle w:val="Tabelle"/>
            </w:pPr>
            <w:r>
              <w:rPr>
                <w:b/>
              </w:rPr>
              <w:t xml:space="preserve">Erarbeitung I</w:t>
            </w:r>
            <w:r>
              <w:t xml:space="preserve">, Einzelarbeit</w:t>
            </w:r>
          </w:p>
        </w:tc>
        <w:tc>
          <w:tcPr>
            <w:tcW w:w="2449" w:type="dxa"/>
          </w:tcPr>
          <w:p>
            <w:pPr>
              <w:pStyle w:val="Tabelle"/>
            </w:pPr>
            <w:r>
              <w:t xml:space="preserve">Teilt das Arbeitsblatt aus. Bei Aufgabe 1 nachfragen, woher solche Sätze kommen.</w:t>
            </w:r>
          </w:p>
        </w:tc>
        <w:tc>
          <w:tcPr>
            <w:tcW w:w="2449" w:type="dxa"/>
          </w:tcPr>
          <w:p>
            <w:pPr>
              <w:pStyle w:val="Tabelle"/>
            </w:pPr>
            <w:r>
              <w:t xml:space="preserve">Lesen „Ein Chatbot fühlt nichts“ und „Gebaut, damit du wiederkommst“ und lösen die Aufgaben 1 und 2.</w:t>
            </w:r>
          </w:p>
        </w:tc>
        <w:tc>
          <w:tcPr>
            <w:tcW w:w="2086" w:type="dxa"/>
          </w:tcPr>
          <w:p>
            <w:pPr>
              <w:pStyle w:val="Tabelle"/>
            </w:pPr>
            <w:r>
              <w:t xml:space="preserve">Arbeitsblatt mit Lösungsbogen</w:t>
            </w:r>
          </w:p>
        </w:tc>
      </w:tr>
      <w:tr>
        <w:tc>
          <w:tcPr>
            <w:tcW w:w="726" w:type="dxa"/>
          </w:tcPr>
          <w:p>
            <w:pPr>
              <w:pStyle w:val="Tabelle"/>
            </w:pPr>
            <w:r>
              <w:t xml:space="preserve">21 bis 35</w:t>
            </w:r>
          </w:p>
        </w:tc>
        <w:tc>
          <w:tcPr>
            <w:tcW w:w="1361" w:type="dxa"/>
          </w:tcPr>
          <w:p>
            <w:pPr>
              <w:pStyle w:val="Tabelle"/>
            </w:pPr>
            <w:r>
              <w:rPr>
                <w:b/>
              </w:rPr>
              <w:t xml:space="preserve">Erarbeitung II</w:t>
            </w:r>
            <w:r>
              <w:t xml:space="preserve">, Partnerarbeit</w:t>
            </w:r>
          </w:p>
        </w:tc>
        <w:tc>
          <w:tcPr>
            <w:tcW w:w="2449" w:type="dxa"/>
          </w:tcPr>
          <w:p>
            <w:pPr>
              <w:pStyle w:val="Tabelle"/>
            </w:pPr>
            <w:r>
              <w:t xml:space="preserve">Lässt die Paare die Aufgaben 3 bis 6 lösen und hört bei Aufgabe 3 zu, welche Antwort an die Freundin sie wählen.</w:t>
            </w:r>
          </w:p>
        </w:tc>
        <w:tc>
          <w:tcPr>
            <w:tcW w:w="2449" w:type="dxa"/>
          </w:tcPr>
          <w:p>
            <w:pPr>
              <w:pStyle w:val="Tabelle"/>
            </w:pPr>
            <w:r>
              <w:t xml:space="preserve">Lesen „Was mit deinen Worten passiert“ und „Bei echten Sorgen: Menschen“ und lösen die Aufgaben 3 bis 6.</w:t>
            </w:r>
          </w:p>
        </w:tc>
        <w:tc>
          <w:tcPr>
            <w:tcW w:w="2086" w:type="dxa"/>
          </w:tcPr>
          <w:p>
            <w:pPr>
              <w:pStyle w:val="Tabelle"/>
            </w:pPr>
            <w:r>
              <w:t xml:space="preserve">Arbeitsblatt mit Lösungsbogen</w:t>
            </w:r>
          </w:p>
        </w:tc>
      </w:tr>
      <w:tr>
        <w:tc>
          <w:tcPr>
            <w:tcW w:w="726" w:type="dxa"/>
          </w:tcPr>
          <w:p>
            <w:pPr>
              <w:pStyle w:val="Tabelle"/>
            </w:pPr>
            <w:r>
              <w:t xml:space="preserve">35 bis 45</w:t>
            </w:r>
          </w:p>
        </w:tc>
        <w:tc>
          <w:tcPr>
            <w:tcW w:w="1361" w:type="dxa"/>
          </w:tcPr>
          <w:p>
            <w:pPr>
              <w:pStyle w:val="Tabelle"/>
            </w:pPr>
            <w:r>
              <w:rPr>
                <w:b/>
              </w:rPr>
              <w:t xml:space="preserve">Sicherung</w:t>
            </w:r>
            <w:r>
              <w:t xml:space="preserve">, Plenum</w:t>
            </w:r>
          </w:p>
        </w:tc>
        <w:tc>
          <w:tcPr>
            <w:tcW w:w="2449" w:type="dxa"/>
          </w:tcPr>
          <w:p>
            <w:pPr>
              <w:pStyle w:val="Tabelle"/>
            </w:pPr>
            <w:r>
              <w:t xml:space="preserve">Vergleicht mit dem Lösungsbogen und nennt die Ansprechpersonen an der Schule mit Namen und Raum.</w:t>
            </w:r>
          </w:p>
        </w:tc>
        <w:tc>
          <w:tcPr>
            <w:tcW w:w="2449" w:type="dxa"/>
          </w:tcPr>
          <w:p>
            <w:pPr>
              <w:pStyle w:val="Tabelle"/>
            </w:pPr>
            <w:r>
              <w:t xml:space="preserve">Schreiben in ihr Heft, an wen sie sich an der Schule und außerhalb wenden können.</w:t>
            </w:r>
          </w:p>
        </w:tc>
        <w:tc>
          <w:tcPr>
            <w:tcW w:w="2086" w:type="dxa"/>
          </w:tcPr>
          <w:p>
            <w:pPr>
              <w:pStyle w:val="Tabelle"/>
            </w:pPr>
            <w:r>
              <w:t xml:space="preserve">Arbeitsblatt mit Lösungsbogen</w:t>
            </w:r>
          </w:p>
        </w:tc>
      </w:tr>
    </w:tbl>
    <w:p/>
    <w:p>
      <w:pPr>
        <w:pStyle w:val="berschrift1"/>
      </w:pPr>
      <w:r>
        <w:t xml:space="preserve">Erweiterung zur Doppelstunde, weitere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45 bis 65</w:t>
            </w:r>
          </w:p>
        </w:tc>
        <w:tc>
          <w:tcPr>
            <w:tcW w:w="1361" w:type="dxa"/>
          </w:tcPr>
          <w:p>
            <w:pPr>
              <w:pStyle w:val="Tabelle"/>
            </w:pPr>
            <w:r>
              <w:rPr>
                <w:b/>
              </w:rPr>
              <w:t xml:space="preserve">Anwendung mit KI</w:t>
            </w:r>
            <w:r>
              <w:t xml:space="preserve">, Partnerarbeit</w:t>
            </w:r>
          </w:p>
        </w:tc>
        <w:tc>
          <w:tcPr>
            <w:tcW w:w="2449" w:type="dxa"/>
          </w:tcPr>
          <w:p>
            <w:pPr>
              <w:pStyle w:val="Tabelle"/>
            </w:pPr>
            <w:r>
              <w:t xml:space="preserve">Teilt den Praxisauftrag aus und nennt die an der Schule erlaubte KI. Ist an der Schule keine KI freigegeben, führt die Lehrkraft den Auftrag am Beamer vor, und die Klasse sagt an, was hineingeschrieben wird.</w:t>
            </w:r>
          </w:p>
        </w:tc>
        <w:tc>
          <w:tcPr>
            <w:tcW w:w="2449" w:type="dxa"/>
          </w:tcPr>
          <w:p>
            <w:pPr>
              <w:pStyle w:val="Tabelle"/>
            </w:pPr>
            <w:r>
              <w:t xml:space="preserve">Prüfen mit dem Praxisauftrag drei Antworten eines Chatbots ohne Namen darauf, ob sie schmeicheln, nur zustimmen oder zum Weiterschreiben drängen.</w:t>
            </w:r>
          </w:p>
        </w:tc>
        <w:tc>
          <w:tcPr>
            <w:tcW w:w="2086" w:type="dxa"/>
          </w:tcPr>
          <w:p>
            <w:pPr>
              <w:pStyle w:val="Tabelle"/>
            </w:pPr>
            <w:r>
              <w:t xml:space="preserve">Praxisauftrag</w:t>
            </w:r>
          </w:p>
        </w:tc>
      </w:tr>
      <w:tr>
        <w:tc>
          <w:tcPr>
            <w:tcW w:w="726" w:type="dxa"/>
          </w:tcPr>
          <w:p>
            <w:pPr>
              <w:pStyle w:val="Tabelle"/>
            </w:pPr>
            <w:r>
              <w:t xml:space="preserve">65 bis 80</w:t>
            </w:r>
          </w:p>
        </w:tc>
        <w:tc>
          <w:tcPr>
            <w:tcW w:w="1361" w:type="dxa"/>
          </w:tcPr>
          <w:p>
            <w:pPr>
              <w:pStyle w:val="Tabelle"/>
            </w:pPr>
            <w:r>
              <w:rPr>
                <w:b/>
              </w:rPr>
              <w:t xml:space="preserve">Schreiben und gegenlesen</w:t>
            </w:r>
            <w:r>
              <w:t xml:space="preserve">, Partnerarbeit</w:t>
            </w:r>
          </w:p>
        </w:tc>
        <w:tc>
          <w:tcPr>
            <w:tcW w:w="2449" w:type="dxa"/>
          </w:tcPr>
          <w:p>
            <w:pPr>
              <w:pStyle w:val="Tabelle"/>
            </w:pPr>
            <w:r>
              <w:t xml:space="preserve">Teilt den Schreibauftrag aus. Nach acht Minuten tauschen die Paare die Blätter und bewerten mit dem Raster.</w:t>
            </w:r>
          </w:p>
        </w:tc>
        <w:tc>
          <w:tcPr>
            <w:tcW w:w="2449" w:type="dxa"/>
          </w:tcPr>
          <w:p>
            <w:pPr>
              <w:pStyle w:val="Tabelle"/>
            </w:pPr>
            <w:r>
              <w:t xml:space="preserve">Schreiben Aufgabe 7: eine Dauervorgabe für einen Lern-Chatbot, der bei persönlichen Sorgen keine Empfehlung gibt, sondern an Menschen verweist.</w:t>
            </w:r>
          </w:p>
        </w:tc>
        <w:tc>
          <w:tcPr>
            <w:tcW w:w="2086" w:type="dxa"/>
          </w:tcPr>
          <w:p>
            <w:pPr>
              <w:pStyle w:val="Tabelle"/>
            </w:pPr>
            <w:r>
              <w:t xml:space="preserve">Schreibauftrag mit Bewertungsraster</w:t>
            </w:r>
          </w:p>
        </w:tc>
      </w:tr>
      <w:tr>
        <w:tc>
          <w:tcPr>
            <w:tcW w:w="726" w:type="dxa"/>
          </w:tcPr>
          <w:p>
            <w:pPr>
              <w:pStyle w:val="Tabelle"/>
            </w:pPr>
            <w:r>
              <w:t xml:space="preserve">80 bis 90</w:t>
            </w:r>
          </w:p>
        </w:tc>
        <w:tc>
          <w:tcPr>
            <w:tcW w:w="1361" w:type="dxa"/>
          </w:tcPr>
          <w:p>
            <w:pPr>
              <w:pStyle w:val="Tabelle"/>
            </w:pPr>
            <w:r>
              <w:rPr>
                <w:b/>
              </w:rPr>
              <w:t xml:space="preserve">Wiederholen</w:t>
            </w:r>
            <w:r>
              <w:t xml:space="preserve">, Partnerarbeit</w:t>
            </w:r>
          </w:p>
        </w:tc>
        <w:tc>
          <w:tcPr>
            <w:tcW w:w="2449" w:type="dxa"/>
          </w:tcPr>
          <w:p>
            <w:pPr>
              <w:pStyle w:val="Tabelle"/>
            </w:pPr>
            <w:r>
              <w:t xml:space="preserve">Teilt die Karteikarten aus, beidseitig gedruckt und ausgeschnitten.</w:t>
            </w:r>
          </w:p>
        </w:tc>
        <w:tc>
          <w:tcPr>
            <w:tcW w:w="2449" w:type="dxa"/>
          </w:tcPr>
          <w:p>
            <w:pPr>
              <w:pStyle w:val="Tabelle"/>
            </w:pPr>
            <w:r>
              <w:t xml:space="preserve">Fragen die Karten ab und erklären zu jeder Aussage über Chatbots, ob sie Technik oder Gefühl beschreibt.</w:t>
            </w:r>
          </w:p>
        </w:tc>
        <w:tc>
          <w:tcPr>
            <w:tcW w:w="2086" w:type="dxa"/>
          </w:tcPr>
          <w:p>
            <w:pPr>
              <w:pStyle w:val="Tabelle"/>
            </w:pPr>
            <w:r>
              <w:t xml:space="preserve">Karteikarten</w:t>
            </w:r>
          </w:p>
        </w:tc>
      </w:tr>
    </w:tbl>
    <w:p/>
    <w:p>
      <w:pPr>
        <w:pStyle w:val="berschrift1"/>
      </w:pPr>
      <w:r>
        <w:t xml:space="preserve">Woran Sie sehen, dass das Ziel erreicht ist</w:t>
      </w:r>
    </w:p>
    <w:p>
      <w:r>
        <w:t xml:space="preserve">Jede Schülerin und jeder Schüler kann erklären, warum ein Chatbot keine Gefühle hat, und nennt eine Person an der Schule und eine Stelle außerhalb für echte Sorgen.</w:t>
      </w:r>
    </w:p>
    <w:p>
      <w:pPr>
        <w:pStyle w:val="berschrift1"/>
      </w:pPr>
      <w:r>
        <w:t xml:space="preserve">Differenzierung</w:t>
      </w:r>
    </w:p>
    <w:p>
      <w:r>
        <w:rPr>
          <w:b/>
        </w:rPr>
        <w:t xml:space="preserve">Leichter:</w:t>
      </w:r>
      <w:r>
        <w:t xml:space="preserve"> Die Ansprechpersonen der Schule stehen an der Tafel; verpflichtend sind die Aufgaben 1 bis 5.</w:t>
      </w:r>
    </w:p>
    <w:p>
      <w:r>
        <w:rPr>
          <w:b/>
        </w:rPr>
        <w:t xml:space="preserve">Schwerer:</w:t>
      </w:r>
      <w:r>
        <w:t xml:space="preserve"> In den Bedingungen einer Begleit-App nachsehen, welches Mindestalter gilt und was mit den Gesprächen geschieht.</w:t>
      </w:r>
    </w:p>
    <w:p>
      <w:pPr>
        <w:pStyle w:val="berschrift1"/>
      </w:pPr>
      <w:r>
        <w:t xml:space="preserve">Stolpersteine, eingeschätzt</w:t>
      </w:r>
    </w:p>
    <w:p>
      <w:pPr>
        <w:pStyle w:val="Aufzhlungszeichen"/>
      </w:pPr>
      <w:r>
        <w:t xml:space="preserve">•  Vor der Stunde Schulsozialarbeit oder Vertrauenslehrkraft informieren und fragen, ob es in der Klasse einen aktuellen Vorfall gibt. Wenn ja, die Stunde mit ihnen abstimmen oder verschieben.</w:t>
      </w:r>
    </w:p>
    <w:p>
      <w:pPr>
        <w:pStyle w:val="Aufzhlungszeichen"/>
      </w:pPr>
      <w:r>
        <w:t xml:space="preserve">•  Jemand in der Klasse kann einen Begleit-Chatbot gerade als Halt nutzen. Nicht lächerlich machen und nicht nach eigenen Chats fragen; die Übung mit echten Antworten ist freiwillig.</w:t>
      </w:r>
    </w:p>
    <w:p>
      <w:pPr>
        <w:pStyle w:val="Aufzhlungszeichen"/>
      </w:pPr>
      <w:r>
        <w:t xml:space="preserve">•  Die Hilfsangebote auf den Blättern haben den Stand vom 30.09.2026. Vor der Stunde auf den Seiten der Stellen nachsehen, ob Nummern und Zeiten noch stimmen.</w:t>
      </w:r>
    </w:p>
    <w:p>
      <w:pPr>
        <w:pStyle w:val="berschrift1"/>
      </w:pPr>
      <w:r>
        <w:t xml:space="preserve">Lehrplan und Kompetenzen</w:t>
      </w:r>
    </w:p>
    <w:p>
      <w:r>
        <w:rPr>
          <w:b/>
        </w:rPr>
        <w:t xml:space="preserve">KMK-Handlungsempfehlung KI</w:t>
      </w:r>
      <w:r>
        <w:t xml:space="preserve">, Handlungsempfehlung für die Bildungsverwaltung zum Umgang mit Künstlicher Intelligenz in schulischen Bildungsprozessen (10.10.2024), Themenbereich 1, S. 3</w:t>
      </w:r>
    </w:p>
    <w:p>
      <w:pPr>
        <w:pStyle w:val="Hinweis"/>
      </w:pPr>
      <w:r>
        <w:t xml:space="preserve">„Ein grundlegendes Verständnis der technischen Funktionsweisen sowie das Erkennen von Chancen, Grenzen und Risiken der neuen digitalen Möglichkeiten sind für einen verantwortungsbewussten und reflektierten Umgang sowie für einen lernförderlichen Einsatz im Unterricht und beim Lernen zu Hause unabdingbar.“</w:t>
      </w:r>
    </w:p>
    <w:p>
      <w:r>
        <w:rPr>
          <w:b/>
        </w:rPr>
        <w:t xml:space="preserve">Anknüpfung:</w:t>
      </w:r>
      <w:r>
        <w:t xml:space="preserve"> Klärt an Begleit-Chatbots, wie ein Sprachmodell arbeitet und wo seine Grenzen liegen.</w:t>
      </w:r>
    </w:p>
    <w:p>
      <w:pPr>
        <w:pStyle w:val="Hinweis"/>
      </w:pPr>
      <w:r>
        <w:t xml:space="preserve">Quelle: https://www.kmk.org/fileadmin/Dateien/veroeffentlichungen_beschluesse/2024/2024_10_10-Handlungsempfehlung-KI.pdf, abgerufen am 28.09.2026</w:t>
      </w:r>
    </w:p>
    <w:p>
      <w:r>
        <w:rPr>
          <w:b/>
        </w:rPr>
        <w:t xml:space="preserve">Offene Frage (Ethik, Religion):</w:t>
      </w:r>
      <w:r>
        <w:t xml:space="preserve"> Passt die Stunde zum Thema Freundschaft und Beziehungen in Ethik oder Religion der Jahrgangsstufen 8 bis 10? Dort ist nicht nachgesehen worden.</w:t>
      </w:r>
    </w:p>
    <w:p>
      <w:r>
        <w:rPr>
          <w:b/>
        </w:rPr>
        <w:t xml:space="preserve">Offene Frage (LehrplanPLUS, andere Schularten):</w:t>
      </w:r>
      <w:r>
        <w:t xml:space="preserve"> Passt die Stunde in die Lehrpläne der Mittelschule, der Realschule oder der beruflichen Schulen, etwa in Deutsch oder in ein Fach mit Medienbildung? Dort ist nicht nachgesehen worden.</w:t>
      </w:r>
    </w:p>
    <w:p>
      <w:r>
        <w:rPr>
          <w:b/>
        </w:rPr>
        <w:t xml:space="preserve">Kompetenzrahmen</w:t>
      </w:r>
      <w:r>
        <w:t xml:space="preserve"> (Erstzuordnung, nicht von einer Lehrkraft geprüft; die deutschen Titel sind eine eigene Arbeitsübersetzung):</w:t>
      </w:r>
    </w:p>
    <w:p>
      <w:pPr>
        <w:pStyle w:val="Aufzhlungszeichen"/>
      </w:pPr>
      <w:r>
        <w:t xml:space="preserve">•  AILit Engage with AI 2: Beschreiben, wie KI-Systeme Aufgaben erledigen, und dabei verbreitete Fehlvorstellungen klären.</w:t>
      </w:r>
    </w:p>
    <w:p>
      <w:pPr>
        <w:pStyle w:val="Aufzhlungszeichen"/>
      </w:pPr>
      <w:r>
        <w:t xml:space="preserve">•  DigComp 3.0 4.3: Wohlbefinden fördern</w:t>
      </w:r>
    </w:p>
    <w:p>
      <w:pPr>
        <w:pStyle w:val="Hinweis"/>
      </w:pPr>
      <w:r>
        <w:t xml:space="preserve">Stand 30.09.2026 · Dieses Material darf für den eigenen Unterricht kopiert und ausgeteilt werden. Verkaufen oder auf anderen Plattformen anbieten ist nicht erlaubt. · schule.klenna.de</w:t>
      </w:r>
    </w:p>
    <w:p>
      <w:r>
        <w:br w:type="page"/>
      </w:r>
    </w:p>
    <w:p>
      <w:pPr>
        <w:pStyle w:val="Hinweis"/>
      </w:pPr>
      <w:r>
        <w:rPr>
          <w:b/>
        </w:rPr>
        <w:t xml:space="preserve">Einstiegsfolie, als Gliederung</w:t>
      </w:r>
    </w:p>
    <w:p>
      <w:pPr>
        <w:pStyle w:val="Titel"/>
      </w:pPr>
      <w:r>
        <w:t xml:space="preserve">„Ich hab dich vermisst“</w:t>
      </w:r>
    </w:p>
    <w:p>
      <w:pPr>
        <w:pStyle w:val="Aufzhlungszeichen"/>
      </w:pPr>
      <w:r>
        <w:t xml:space="preserve">•  Das schreibt ein Chatbot.</w:t>
      </w:r>
    </w:p>
    <w:p>
      <w:pPr>
        <w:pStyle w:val="Aufzhlungszeichen"/>
      </w:pPr>
      <w:r>
        <w:t xml:space="preserve">•  Er hat einen Namen und ein Gesicht.</w:t>
      </w:r>
    </w:p>
    <w:p>
      <w:pPr>
        <w:pStyle w:val="Aufzhlungszeichen"/>
      </w:pPr>
      <w:r>
        <w:t xml:space="preserve">•  Er antwortet immer sofort.</w:t>
      </w:r>
    </w:p>
    <w:p>
      <w:r>
        <w:rPr>
          <w:b/>
        </w:rPr>
        <w:t xml:space="preserve">Was müsste er können, damit der Satz stimmt?</w:t>
      </w:r>
    </w:p>
    <w:p>
      <w:pPr>
        <w:pStyle w:val="berschrift2"/>
      </w:pPr>
      <w:r>
        <w:t xml:space="preserve">Für Sie, nicht für die Wand</w:t>
      </w:r>
    </w:p>
    <w:p>
      <w:r>
        <w:t xml:space="preserve">Antworten sammeln: sich erinnern, fühlen, einen vermissen. Die Stunde klärt, was davon ein Programm kann und was nicht.</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120" w:line="276" w:lineRule="auto"/>
      </w:pPr>
    </w:pPrDefault>
  </w:docDefaults>
  <w:style w:type="paragraph" w:default="1" w:styleId="Standard">
    <w:name w:val="Normal"/>
    <w:qFormat/>
    <w:rPr>
      <w:rFonts w:ascii="Arial" w:hAnsi="Arial" w:eastAsia="Arial" w:cs="Arial"/>
      <w:sz w:val="22"/>
      <w:szCs w:val="22"/>
    </w:rPr>
  </w:style>
  <w:style w:type="paragraph" w:styleId="Titel">
    <w:name w:val="Title"/>
    <w:basedOn w:val="Standard"/>
    <w:next w:val="Standard"/>
    <w:qFormat/>
    <w:pPr>
      <w:spacing w:after="80"/>
    </w:pPr>
    <w:rPr>
      <w:b/>
      <w:sz w:val="40"/>
      <w:szCs w:val="40"/>
    </w:rPr>
  </w:style>
  <w:style w:type="paragraph" w:styleId="berschrift1">
    <w:name w:val="heading 1"/>
    <w:basedOn w:val="Standard"/>
    <w:next w:val="Standard"/>
    <w:qFormat/>
    <w:pPr>
      <w:keepNext/>
      <w:spacing w:before="240" w:after="80"/>
      <w:outlineLvl w:val="0"/>
    </w:pPr>
    <w:rPr>
      <w:b/>
      <w:sz w:val="28"/>
      <w:szCs w:val="28"/>
    </w:rPr>
  </w:style>
  <w:style w:type="paragraph" w:styleId="berschrift2">
    <w:name w:val="heading 2"/>
    <w:basedOn w:val="Standard"/>
    <w:next w:val="Standard"/>
    <w:qFormat/>
    <w:pPr>
      <w:keepNext/>
      <w:spacing w:before="160" w:after="60"/>
      <w:outlineLvl w:val="1"/>
    </w:pPr>
    <w:rPr>
      <w:b/>
      <w:sz w:val="24"/>
      <w:szCs w:val="24"/>
    </w:rPr>
  </w:style>
  <w:style w:type="paragraph" w:styleId="Aufzhlungszeichen">
    <w:name w:val="List Bullet"/>
    <w:basedOn w:val="Standard"/>
    <w:next w:val="Standard"/>
    <w:pPr>
      <w:ind w:left="360" w:hanging="240"/>
      <w:spacing w:after="60"/>
    </w:pPr>
    <w:rPr/>
  </w:style>
  <w:style w:type="paragraph" w:styleId="Hinweis">
    <w:name w:val="Hinweis"/>
    <w:basedOn w:val="Standard"/>
    <w:next w:val="Standard"/>
    <w:qFormat/>
    <w:pPr>
      <w:spacing w:after="80"/>
    </w:pPr>
    <w:rPr>
      <w:color w:val="474747"/>
      <w:sz w:val="20"/>
      <w:szCs w:val="20"/>
    </w:rPr>
  </w:style>
  <w:style w:type="paragraph" w:styleId="Tabelle">
    <w:name w:val="Tabelle"/>
    <w:basedOn w:val="Standard"/>
    <w:next w:val="Standard"/>
    <w:pPr>
      <w:spacing w:after="0" w:line="240" w:lineRule="auto"/>
    </w:pPr>
    <w:rPr>
      <w:sz w:val="20"/>
      <w:szCs w:val="20"/>
    </w:rPr>
  </w:style>
  <w:style w:type="table" w:styleId="Tabellengitter">
    <w:name w:val="Table Grid"/>
    <w:tblP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Stundenentwurf: Wenn der Chatbot zum Freund wird</dc:title>
  <dc:creator>Klenna</dc:creator>
  <dc:language>de-DE</dc:language>
</cp:coreProperties>
</file>