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Ein Modell beschreiben</w:t>
      </w:r>
    </w:p>
    <w:p>
      <w:pPr>
        <w:pStyle w:val="Hinweis"/>
      </w:pPr>
      <w:r>
        <w:t xml:space="preserve">Zur Lektion „Ein Modell beschreiben“ · Ergänzung · Kapitel 7: Ergebnisse messen und beschreiben · Lektion 3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kennen die Teile einer Modellkarte, prüfen Anbieterangaben darauf, woran gemessen wurde und welche Grenzen fehlen, und schreiben für eine eigene Vorlage eine kurze Karte, deren Zahlen aus dem eigenen Testlauf stammen.</w:t>
      </w:r>
    </w:p>
    <w:p>
      <w:r>
        <w:rPr>
          <w:b/>
        </w:rPr>
        <w:t xml:space="preserve">Vorwissen:</w:t>
      </w:r>
      <w:r>
        <w:t xml:space="preserve"> Hilfreich ist die Lektion „KI-Ergebnisse nach Kriterien bewerten“.</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7</w:t>
            </w:r>
          </w:p>
        </w:tc>
        <w:tc>
          <w:tcPr>
            <w:tcW w:w="1361" w:type="dxa"/>
          </w:tcPr>
          <w:p>
            <w:pPr>
              <w:pStyle w:val="Tabelle"/>
            </w:pPr>
            <w:r>
              <w:rPr>
                <w:b/>
              </w:rPr>
              <w:t xml:space="preserve">Einstieg</w:t>
            </w:r>
            <w:r>
              <w:t xml:space="preserve">, Plenum</w:t>
            </w:r>
          </w:p>
        </w:tc>
        <w:tc>
          <w:tcPr>
            <w:tcW w:w="2449" w:type="dxa"/>
          </w:tcPr>
          <w:p>
            <w:pPr>
              <w:pStyle w:val="Tabelle"/>
            </w:pPr>
            <w:r>
              <w:t xml:space="preserve">Zeigt die Einstiegsfolie und sammelt die Fragen der Klasse an den Anbieter an der Tafel.</w:t>
            </w:r>
          </w:p>
        </w:tc>
        <w:tc>
          <w:tcPr>
            <w:tcW w:w="2449" w:type="dxa"/>
          </w:tcPr>
          <w:p>
            <w:pPr>
              <w:pStyle w:val="Tabelle"/>
            </w:pPr>
            <w:r>
              <w:t xml:space="preserve">Stellen Fragen, die ein einziger Werbesatz über ein Übersetzungsmodell offenlässt.</w:t>
            </w:r>
          </w:p>
        </w:tc>
        <w:tc>
          <w:tcPr>
            <w:tcW w:w="2086" w:type="dxa"/>
          </w:tcPr>
          <w:p>
            <w:pPr>
              <w:pStyle w:val="Tabelle"/>
            </w:pPr>
            <w:r>
              <w:t xml:space="preserve">Einstiegsfolie</w:t>
            </w:r>
          </w:p>
        </w:tc>
      </w:tr>
      <w:tr>
        <w:tc>
          <w:tcPr>
            <w:tcW w:w="726" w:type="dxa"/>
          </w:tcPr>
          <w:p>
            <w:pPr>
              <w:pStyle w:val="Tabelle"/>
            </w:pPr>
            <w:r>
              <w:t xml:space="preserve">7 bis 20</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Bei Aufgabe 2 nachfragen, welche Sätze sich nachprüfen lassen und welche nicht.</w:t>
            </w:r>
          </w:p>
        </w:tc>
        <w:tc>
          <w:tcPr>
            <w:tcW w:w="2449" w:type="dxa"/>
          </w:tcPr>
          <w:p>
            <w:pPr>
              <w:pStyle w:val="Tabelle"/>
            </w:pPr>
            <w:r>
              <w:t xml:space="preserve">Lesen „Ein Steckbrief mit Grenzen“ und „Sieben Teile einer Modellkarte“ und lösen die Aufgaben 1 und 2.</w:t>
            </w:r>
          </w:p>
        </w:tc>
        <w:tc>
          <w:tcPr>
            <w:tcW w:w="2086" w:type="dxa"/>
          </w:tcPr>
          <w:p>
            <w:pPr>
              <w:pStyle w:val="Tabelle"/>
            </w:pPr>
            <w:r>
              <w:t xml:space="preserve">Arbeitsblatt mit Lösungsbogen</w:t>
            </w:r>
          </w:p>
        </w:tc>
      </w:tr>
      <w:tr>
        <w:tc>
          <w:tcPr>
            <w:tcW w:w="726" w:type="dxa"/>
          </w:tcPr>
          <w:p>
            <w:pPr>
              <w:pStyle w:val="Tabelle"/>
            </w:pPr>
            <w:r>
              <w:t xml:space="preserve">20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Paare die Aufgaben 3 bis 6 lösen und achtet bei Aufgabe 5 darauf, dass sie für jede gestrichene Zeile eine bessere Fassung nennen.</w:t>
            </w:r>
          </w:p>
        </w:tc>
        <w:tc>
          <w:tcPr>
            <w:tcW w:w="2449" w:type="dxa"/>
          </w:tcPr>
          <w:p>
            <w:pPr>
              <w:pStyle w:val="Tabelle"/>
            </w:pPr>
            <w:r>
              <w:t xml:space="preserve">Lesen die Texte zu Anbieterangaben und zur Karte für die eigene Vorlage und lösen die Aufgaben 3 bis 6.</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Vergleicht mit dem Lösungsbogen und ordnet die Fragen vom Anfang den sieben Teilen einer Modellkarte zu.</w:t>
            </w:r>
          </w:p>
        </w:tc>
        <w:tc>
          <w:tcPr>
            <w:tcW w:w="2449" w:type="dxa"/>
          </w:tcPr>
          <w:p>
            <w:pPr>
              <w:pStyle w:val="Tabelle"/>
            </w:pPr>
            <w:r>
              <w:t xml:space="preserve">Ordnen ihre Fragen an den Anbieter den sieben Teilen einer Modellkarte zu und benennen, welcher Teil fehlte.</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Entwerfen mit dem Praxisauftrag eine Modellkarte für eine eigene Vorlage und tragen die Zahlen aus einem eigenen Testlauf ein.</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7: einen Auftrag für eine Modellkarte mit Überschriften, der festlegt, was bei unsicheren Angaben geschieht.</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die Karten ab und nennen zu jeder Karte den Teil der Modellkarte, um den es geht.</w:t>
            </w:r>
          </w:p>
        </w:tc>
        <w:tc>
          <w:tcPr>
            <w:tcW w:w="2086" w:type="dxa"/>
          </w:tcPr>
          <w:p>
            <w:pPr>
              <w:pStyle w:val="Tabelle"/>
            </w:pPr>
            <w:r>
              <w:t xml:space="preserve">Karteikarten</w:t>
            </w:r>
          </w:p>
        </w:tc>
      </w:tr>
    </w:tbl>
    <w:p/>
    <w:p>
      <w:pPr>
        <w:pStyle w:val="berschrift1"/>
      </w:pPr>
      <w:r>
        <w:t xml:space="preserve">Woran Sie sehen, dass das Ziel erreicht ist</w:t>
      </w:r>
    </w:p>
    <w:p>
      <w:r>
        <w:t xml:space="preserve">Jede Schülerin und jeder Schüler legt für eine eigene Vorlage eine Karte mit Zweck, nicht vorgesehener Nutzung, Testzahlen, mindestens einer Grenze und Datum vor.</w:t>
      </w:r>
    </w:p>
    <w:p>
      <w:pPr>
        <w:pStyle w:val="berschrift1"/>
      </w:pPr>
      <w:r>
        <w:t xml:space="preserve">Differenzierung</w:t>
      </w:r>
    </w:p>
    <w:p>
      <w:r>
        <w:rPr>
          <w:b/>
        </w:rPr>
        <w:t xml:space="preserve">Leichter:</w:t>
      </w:r>
      <w:r>
        <w:t xml:space="preserve"> Die sieben Teile einer Modellkarte stehen als Raster auf einem Blatt; verpflichtend sind die Aufgaben 1 bis 4.</w:t>
      </w:r>
    </w:p>
    <w:p>
      <w:r>
        <w:rPr>
          <w:b/>
        </w:rPr>
        <w:t xml:space="preserve">Schwerer:</w:t>
      </w:r>
      <w:r>
        <w:t xml:space="preserve"> Eine öffentlich zugängliche Modellbeschreibung eines Anbieters mit den sieben Teilen vergleichen und auflisten, was fehlt oder sich nicht prüfen lässt.</w:t>
      </w:r>
    </w:p>
    <w:p>
      <w:pPr>
        <w:pStyle w:val="berschrift1"/>
      </w:pPr>
      <w:r>
        <w:t xml:space="preserve">Stolpersteine, eingeschätzt</w:t>
      </w:r>
    </w:p>
    <w:p>
      <w:pPr>
        <w:pStyle w:val="Aufzhlungszeichen"/>
      </w:pPr>
      <w:r>
        <w:t xml:space="preserve">•  Die Stunde bewertet keinen Anbieter. Eine echte Beschreibung wird auf fehlende Teile geprüft, nicht auf die Güte des Produkts.</w:t>
      </w:r>
    </w:p>
    <w:p>
      <w:pPr>
        <w:pStyle w:val="Aufzhlungszeichen"/>
      </w:pPr>
      <w:r>
        <w:t xml:space="preserve">•  Zahlen auf der eigenen Karte stammen aus dem eigenen Testlauf, nie aus der KI.</w:t>
      </w:r>
    </w:p>
    <w:p>
      <w:pPr>
        <w:pStyle w:val="berschrift1"/>
      </w:pPr>
      <w:r>
        <w:t xml:space="preserve">Lehrplan und Kompetenzen</w:t>
      </w:r>
    </w:p>
    <w:p>
      <w:r>
        <w:rPr>
          <w:b/>
        </w:rPr>
        <w:t xml:space="preserve">LehrplanPLUS Bayern</w:t>
      </w:r>
      <w:r>
        <w:t xml:space="preserve">, Gymnasium, Informatik 11 (NTG), Lernbereich 4: Künstliche Intelligenz, letzte Kompetenzerwartung</w:t>
      </w:r>
    </w:p>
    <w:p>
      <w:pPr>
        <w:pStyle w:val="Hinweis"/>
      </w:pPr>
      <w:r>
        <w:t xml:space="preserve">„Die Schülerinnen und Schüler … nehmen zu ausgewählten aktuellen Einsatzmöglichkeiten der Künstlichen Intelligenz Stellung und bewerten Chancen und Risiken für Individuum und Gesellschaft.“</w:t>
      </w:r>
    </w:p>
    <w:p>
      <w:r>
        <w:rPr>
          <w:b/>
        </w:rPr>
        <w:t xml:space="preserve">Anknüpfung:</w:t>
      </w:r>
      <w:r>
        <w:t xml:space="preserve"> Die Klasse bewertet Angaben zu einem KI-Modell nach Einsatzzweck, Grenzen und Risiken.</w:t>
      </w:r>
    </w:p>
    <w:p>
      <w:pPr>
        <w:pStyle w:val="Hinweis"/>
      </w:pPr>
      <w:r>
        <w:t xml:space="preserve">Quelle: https://www.lehrplanplus.bayern.de/fachlehrplan/gymnasium/11/informatik/ntg, abgerufen am 28.09.2026</w:t>
      </w:r>
    </w:p>
    <w:p>
      <w:r>
        <w:rPr>
          <w:b/>
        </w:rPr>
        <w:t xml:space="preserve">KMK-Handlungsempfehlung KI</w:t>
      </w:r>
      <w:r>
        <w:t xml:space="preserve">, Handlungsempfehlung für die Bildungsverwaltung zum Umgang mit Künstlicher Intelligenz in schulischen Bildungsprozessen (10.10.2024), Themenbereich 1, S. 3</w:t>
      </w:r>
    </w:p>
    <w:p>
      <w:pPr>
        <w:pStyle w:val="Hinweis"/>
      </w:pPr>
      <w:r>
        <w:t xml:space="preserve">„Ein grundlegendes Verständnis der technischen Funktionsweisen sowie das Erkennen von Chancen, Grenzen und Risiken der neuen digitalen Möglichkeiten sind für einen verantwortungsbewussten und reflektierten Umgang sowie für einen lernförderlichen Einsatz im Unterricht und beim Lernen zu Hause unabdingbar.“</w:t>
      </w:r>
    </w:p>
    <w:p>
      <w:r>
        <w:rPr>
          <w:b/>
        </w:rPr>
        <w:t xml:space="preserve">Anknüpfung:</w:t>
      </w:r>
      <w:r>
        <w:t xml:space="preserve"> Die Modellkarte macht Chancen, Grenzen und Risiken eines Modells für Nutzende ohne Technikwissen sichtbar.</w:t>
      </w:r>
    </w:p>
    <w:p>
      <w:pPr>
        <w:pStyle w:val="Hinweis"/>
      </w:pPr>
      <w:r>
        <w:t xml:space="preserve">Quelle: https://www.kmk.org/fileadmin/Dateien/veroeffentlichungen_beschluesse/2024/2024_10_10-Handlungsempfehlung-KI.pdf, abgerufen am 28.09.2026</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AILit Shape AI 1: Untersuchen, wie ein KI-System arbeiten soll, für wen es gebaut ist und wo seine Grenzen liegen.</w:t>
      </w:r>
    </w:p>
    <w:p>
      <w:pPr>
        <w:pStyle w:val="Aufzhlungszeichen"/>
      </w:pPr>
      <w:r>
        <w:t xml:space="preserve">•  AILit Engage with AI 2: Beschreiben, wie KI-Systeme Aufgaben erledigen, und dabei verbreitete Fehlvorstellungen klären.</w:t>
      </w:r>
    </w:p>
    <w:p>
      <w:pPr>
        <w:pStyle w:val="Aufzhlungszeichen"/>
      </w:pPr>
      <w:r>
        <w:t xml:space="preserve">•  DigComp 3.0 1.2: Informationen bewerten</w:t>
      </w:r>
    </w:p>
    <w:p>
      <w:pPr>
        <w:pStyle w:val="Hinweis"/>
      </w:pPr>
      <w:r>
        <w:t xml:space="preserve">Stand 30.09.2026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Zuverlässig in über 50 Sprachen</w:t>
      </w:r>
    </w:p>
    <w:p>
      <w:pPr>
        <w:pStyle w:val="Aufzhlungszeichen"/>
      </w:pPr>
      <w:r>
        <w:t xml:space="preserve">•  So beschreibt ein Anbieter sein Übersetzungsmodell.</w:t>
      </w:r>
    </w:p>
    <w:p>
      <w:pPr>
        <w:pStyle w:val="Aufzhlungszeichen"/>
      </w:pPr>
      <w:r>
        <w:t xml:space="preserve">•  Mehr steht nicht da.</w:t>
      </w:r>
    </w:p>
    <w:p>
      <w:r>
        <w:rPr>
          <w:b/>
        </w:rPr>
        <w:t xml:space="preserve">Was müsstest du wissen, bevor du damit eine Bewerbung übersetzt?</w:t>
      </w:r>
    </w:p>
    <w:p>
      <w:pPr>
        <w:pStyle w:val="berschrift2"/>
      </w:pPr>
      <w:r>
        <w:t xml:space="preserve">Für Sie, nicht für die Wand</w:t>
      </w:r>
    </w:p>
    <w:p>
      <w:r>
        <w:t xml:space="preserve">Fragen der Klasse an der Tafel sammeln. Sie decken sich meist mit den Teilen einer Modellkarte; Aufgabe 1 nimmt den Satz wieder auf.</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Ein Modell beschreiben</dc:title>
  <dc:creator>Klenna</dc:creator>
  <dc:language>de-DE</dc:language>
</cp:coreProperties>
</file>