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Hinweis"/>
      </w:pPr>
      <w:r>
        <w:rPr>
          <w:b/>
        </w:rPr>
        <w:t xml:space="preserve">Stundenentwurf</w:t>
      </w:r>
    </w:p>
    <w:p>
      <w:pPr>
        <w:pStyle w:val="Titel"/>
      </w:pPr>
      <w:r>
        <w:t xml:space="preserve">KI richtig angeben</w:t>
      </w:r>
    </w:p>
    <w:p>
      <w:pPr>
        <w:pStyle w:val="Hinweis"/>
      </w:pPr>
      <w:r>
        <w:t xml:space="preserve">Zur Lektion „KI richtig angeben“ · Ergänzung · Kapitel 5: Belegen und prüfen · Lektion 1 · 45 Minuten, als Doppelstunde 90 · KI-Zugang hilfreich, nicht nötig</w:t>
      </w:r>
    </w:p>
    <w:p>
      <w:r>
        <w:rPr>
          <w:b/>
        </w:rPr>
        <w:t xml:space="preserve">Entwurf: noch nicht fachlich geprüft.</w:t>
      </w:r>
      <w:r>
        <w:t xml:space="preserve"> Dieses Material ist ein Entwurf. Es wurde noch von keiner Lehrkraft fachlich geprüft oder im Unterricht erprobt. Bitte lesen Sie es vor dem Einsatz selbst und passen Sie es an Ihre Klasse an.</w:t>
      </w:r>
    </w:p>
    <w:p>
      <w:r>
        <w:rPr>
          <w:b/>
        </w:rPr>
        <w:t xml:space="preserve">Lernziel:</w:t>
      </w:r>
      <w:r>
        <w:t xml:space="preserve"> Die Schülerinnen und Schüler geben den Einsatz einer KI nach den Vorgaben ihrer Schule oder Hochschule nachvollziehbar an und belegen Tatsachen mit dem Original statt mit einer KI-Antwort.</w:t>
      </w:r>
    </w:p>
    <w:p>
      <w:r>
        <w:rPr>
          <w:b/>
        </w:rPr>
        <w:t xml:space="preserve">Vorwissen:</w:t>
      </w:r>
      <w:r>
        <w:t xml:space="preserve"> Erfahrung mit einer schriftlichen Arbeit, etwa Referat, Facharbeit oder Seminararbeit.</w:t>
      </w:r>
    </w:p>
    <w:p>
      <w:pPr>
        <w:pStyle w:val="berschrift1"/>
      </w:pPr>
      <w:r>
        <w:t xml:space="preserve">Material</w:t>
      </w:r>
    </w:p>
    <w:p>
      <w:pPr>
        <w:pStyle w:val="Aufzhlungszeichen"/>
      </w:pPr>
      <w:r>
        <w:t xml:space="preserve">•  Einstiegsfolie, als Gliederung auf der letzten Seite</w:t>
      </w:r>
    </w:p>
    <w:p>
      <w:pPr>
        <w:pStyle w:val="Aufzhlungszeichen"/>
      </w:pPr>
      <w:r>
        <w:t xml:space="preserve">•  Arbeitsblatt mit Lösungsbogen, aus derselben Lektion</w:t>
      </w:r>
    </w:p>
    <w:p>
      <w:pPr>
        <w:pStyle w:val="Aufzhlungszeichen"/>
      </w:pPr>
      <w:r>
        <w:t xml:space="preserve">•  Praxisauftrag, aus derselben Lektion</w:t>
      </w:r>
    </w:p>
    <w:p>
      <w:pPr>
        <w:pStyle w:val="Aufzhlungszeichen"/>
      </w:pPr>
      <w:r>
        <w:t xml:space="preserve">•  Schreibauftrag mit Bewertungsraster, aus derselben Lektion</w:t>
      </w:r>
    </w:p>
    <w:p>
      <w:pPr>
        <w:pStyle w:val="Aufzhlungszeichen"/>
      </w:pPr>
      <w:r>
        <w:t xml:space="preserve">•  Karteikarten, aus derselben Lektion</w:t>
      </w:r>
    </w:p>
    <w:p>
      <w:pPr>
        <w:pStyle w:val="berschrift1"/>
      </w:pPr>
      <w:r>
        <w:t xml:space="preserve">Ablauf der Einzelstunde, 45 Minuten</w:t>
      </w:r>
    </w:p>
    <w:tbl>
      <w:tblPr>
        <w:tblStyle w:val="Tabellengitter"/>
        <w:tblW w:w="9070" w:type="dxa"/>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Pr>
      <w:tblGrid>
        <w:gridCol w:w="726"/>
        <w:gridCol w:w="1361"/>
        <w:gridCol w:w="2449"/>
        <w:gridCol w:w="2449"/>
        <w:gridCol w:w="2086"/>
      </w:tblGrid>
      <w:tr>
        <w:trPr>
          <w:tblHeader/>
        </w:trPr>
        <w:tc>
          <w:tcPr>
            <w:tcW w:w="726" w:type="dxa"/>
            <w:shd w:val="clear" w:color="auto" w:fill="EEEEEE"/>
          </w:tcPr>
          <w:p>
            <w:pPr>
              <w:pStyle w:val="Tabelle"/>
            </w:pPr>
            <w:r>
              <w:rPr>
                <w:b/>
              </w:rPr>
              <w:t xml:space="preserve">Minute</w:t>
            </w:r>
          </w:p>
        </w:tc>
        <w:tc>
          <w:tcPr>
            <w:tcW w:w="1361" w:type="dxa"/>
            <w:shd w:val="clear" w:color="auto" w:fill="EEEEEE"/>
          </w:tcPr>
          <w:p>
            <w:pPr>
              <w:pStyle w:val="Tabelle"/>
            </w:pPr>
            <w:r>
              <w:rPr>
                <w:b/>
              </w:rPr>
              <w:t xml:space="preserve">Phase</w:t>
            </w:r>
          </w:p>
        </w:tc>
        <w:tc>
          <w:tcPr>
            <w:tcW w:w="2449" w:type="dxa"/>
            <w:shd w:val="clear" w:color="auto" w:fill="EEEEEE"/>
          </w:tcPr>
          <w:p>
            <w:pPr>
              <w:pStyle w:val="Tabelle"/>
            </w:pPr>
            <w:r>
              <w:rPr>
                <w:b/>
              </w:rPr>
              <w:t xml:space="preserve">Lehrkraft</w:t>
            </w:r>
          </w:p>
        </w:tc>
        <w:tc>
          <w:tcPr>
            <w:tcW w:w="2449" w:type="dxa"/>
            <w:shd w:val="clear" w:color="auto" w:fill="EEEEEE"/>
          </w:tcPr>
          <w:p>
            <w:pPr>
              <w:pStyle w:val="Tabelle"/>
            </w:pPr>
            <w:r>
              <w:rPr>
                <w:b/>
              </w:rPr>
              <w:t xml:space="preserve">Klasse</w:t>
            </w:r>
          </w:p>
        </w:tc>
        <w:tc>
          <w:tcPr>
            <w:tcW w:w="2086" w:type="dxa"/>
            <w:shd w:val="clear" w:color="auto" w:fill="EEEEEE"/>
          </w:tcPr>
          <w:p>
            <w:pPr>
              <w:pStyle w:val="Tabelle"/>
            </w:pPr>
            <w:r>
              <w:rPr>
                <w:b/>
              </w:rPr>
              <w:t xml:space="preserve">Material</w:t>
            </w:r>
          </w:p>
        </w:tc>
      </w:tr>
      <w:tr>
        <w:tc>
          <w:tcPr>
            <w:tcW w:w="726" w:type="dxa"/>
          </w:tcPr>
          <w:p>
            <w:pPr>
              <w:pStyle w:val="Tabelle"/>
            </w:pPr>
            <w:r>
              <w:t xml:space="preserve">0 bis 7</w:t>
            </w:r>
          </w:p>
        </w:tc>
        <w:tc>
          <w:tcPr>
            <w:tcW w:w="1361" w:type="dxa"/>
          </w:tcPr>
          <w:p>
            <w:pPr>
              <w:pStyle w:val="Tabelle"/>
            </w:pPr>
            <w:r>
              <w:rPr>
                <w:b/>
              </w:rPr>
              <w:t xml:space="preserve">Einstieg</w:t>
            </w:r>
            <w:r>
              <w:t xml:space="preserve">, Plenum</w:t>
            </w:r>
          </w:p>
        </w:tc>
        <w:tc>
          <w:tcPr>
            <w:tcW w:w="2449" w:type="dxa"/>
          </w:tcPr>
          <w:p>
            <w:pPr>
              <w:pStyle w:val="Tabelle"/>
            </w:pPr>
            <w:r>
              <w:t xml:space="preserve">Zeigt die Einstiegsfolie und lässt abstimmen, bevor jemand begründet.</w:t>
            </w:r>
          </w:p>
        </w:tc>
        <w:tc>
          <w:tcPr>
            <w:tcW w:w="2449" w:type="dxa"/>
          </w:tcPr>
          <w:p>
            <w:pPr>
              <w:pStyle w:val="Tabelle"/>
            </w:pPr>
            <w:r>
              <w:t xml:space="preserve">Stimmen ab, ob die Rechtschreibhilfe angegeben werden muss, und begründen ihre Wahl.</w:t>
            </w:r>
          </w:p>
        </w:tc>
        <w:tc>
          <w:tcPr>
            <w:tcW w:w="2086" w:type="dxa"/>
          </w:tcPr>
          <w:p>
            <w:pPr>
              <w:pStyle w:val="Tabelle"/>
            </w:pPr>
            <w:r>
              <w:t xml:space="preserve">Einstiegsfolie</w:t>
            </w:r>
          </w:p>
        </w:tc>
      </w:tr>
      <w:tr>
        <w:tc>
          <w:tcPr>
            <w:tcW w:w="726" w:type="dxa"/>
          </w:tcPr>
          <w:p>
            <w:pPr>
              <w:pStyle w:val="Tabelle"/>
            </w:pPr>
            <w:r>
              <w:t xml:space="preserve">7 bis 20</w:t>
            </w:r>
          </w:p>
        </w:tc>
        <w:tc>
          <w:tcPr>
            <w:tcW w:w="1361" w:type="dxa"/>
          </w:tcPr>
          <w:p>
            <w:pPr>
              <w:pStyle w:val="Tabelle"/>
            </w:pPr>
            <w:r>
              <w:rPr>
                <w:b/>
              </w:rPr>
              <w:t xml:space="preserve">Erarbeitung I</w:t>
            </w:r>
            <w:r>
              <w:t xml:space="preserve">, Einzelarbeit</w:t>
            </w:r>
          </w:p>
        </w:tc>
        <w:tc>
          <w:tcPr>
            <w:tcW w:w="2449" w:type="dxa"/>
          </w:tcPr>
          <w:p>
            <w:pPr>
              <w:pStyle w:val="Tabelle"/>
            </w:pPr>
            <w:r>
              <w:t xml:space="preserve">Teilt das Arbeitsblatt aus und dazu, falls vorhanden, die Vorgabe der eigenen Schule zum KI-Einsatz.</w:t>
            </w:r>
          </w:p>
        </w:tc>
        <w:tc>
          <w:tcPr>
            <w:tcW w:w="2449" w:type="dxa"/>
          </w:tcPr>
          <w:p>
            <w:pPr>
              <w:pStyle w:val="Tabelle"/>
            </w:pPr>
            <w:r>
              <w:t xml:space="preserve">Lesen die Texte zur Eigenständigkeitserklärung, zum Hilfsmittelverzeichnis und zu den Regeln vor Ort und lösen die Aufgaben 1 und 2.</w:t>
            </w:r>
          </w:p>
        </w:tc>
        <w:tc>
          <w:tcPr>
            <w:tcW w:w="2086" w:type="dxa"/>
          </w:tcPr>
          <w:p>
            <w:pPr>
              <w:pStyle w:val="Tabelle"/>
            </w:pPr>
            <w:r>
              <w:t xml:space="preserve">Arbeitsblatt mit Lösungsbogen</w:t>
            </w:r>
          </w:p>
        </w:tc>
      </w:tr>
      <w:tr>
        <w:tc>
          <w:tcPr>
            <w:tcW w:w="726" w:type="dxa"/>
          </w:tcPr>
          <w:p>
            <w:pPr>
              <w:pStyle w:val="Tabelle"/>
            </w:pPr>
            <w:r>
              <w:t xml:space="preserve">20 bis 35</w:t>
            </w:r>
          </w:p>
        </w:tc>
        <w:tc>
          <w:tcPr>
            <w:tcW w:w="1361" w:type="dxa"/>
          </w:tcPr>
          <w:p>
            <w:pPr>
              <w:pStyle w:val="Tabelle"/>
            </w:pPr>
            <w:r>
              <w:rPr>
                <w:b/>
              </w:rPr>
              <w:t xml:space="preserve">Erarbeitung II</w:t>
            </w:r>
            <w:r>
              <w:t xml:space="preserve">, Partnerarbeit</w:t>
            </w:r>
          </w:p>
        </w:tc>
        <w:tc>
          <w:tcPr>
            <w:tcW w:w="2449" w:type="dxa"/>
          </w:tcPr>
          <w:p>
            <w:pPr>
              <w:pStyle w:val="Tabelle"/>
            </w:pPr>
            <w:r>
              <w:t xml:space="preserve">Lässt die Paare die Aufgaben 3 bis 6 lösen und hört bei Aufgabe 3 zu, ob sie das Original einer Zahl suchen wollen.</w:t>
            </w:r>
          </w:p>
        </w:tc>
        <w:tc>
          <w:tcPr>
            <w:tcW w:w="2449" w:type="dxa"/>
          </w:tcPr>
          <w:p>
            <w:pPr>
              <w:pStyle w:val="Tabelle"/>
            </w:pPr>
            <w:r>
              <w:t xml:space="preserve">Lesen „Die KI ist kein Beleg“ und den Text zu Zitierstilen und lösen die Aufgaben 3 bis 6.</w:t>
            </w:r>
          </w:p>
        </w:tc>
        <w:tc>
          <w:tcPr>
            <w:tcW w:w="2086" w:type="dxa"/>
          </w:tcPr>
          <w:p>
            <w:pPr>
              <w:pStyle w:val="Tabelle"/>
            </w:pPr>
            <w:r>
              <w:t xml:space="preserve">Arbeitsblatt mit Lösungsbogen</w:t>
            </w:r>
          </w:p>
        </w:tc>
      </w:tr>
      <w:tr>
        <w:tc>
          <w:tcPr>
            <w:tcW w:w="726" w:type="dxa"/>
          </w:tcPr>
          <w:p>
            <w:pPr>
              <w:pStyle w:val="Tabelle"/>
            </w:pPr>
            <w:r>
              <w:t xml:space="preserve">35 bis 45</w:t>
            </w:r>
          </w:p>
        </w:tc>
        <w:tc>
          <w:tcPr>
            <w:tcW w:w="1361" w:type="dxa"/>
          </w:tcPr>
          <w:p>
            <w:pPr>
              <w:pStyle w:val="Tabelle"/>
            </w:pPr>
            <w:r>
              <w:rPr>
                <w:b/>
              </w:rPr>
              <w:t xml:space="preserve">Sicherung</w:t>
            </w:r>
            <w:r>
              <w:t xml:space="preserve">, Plenum</w:t>
            </w:r>
          </w:p>
        </w:tc>
        <w:tc>
          <w:tcPr>
            <w:tcW w:w="2449" w:type="dxa"/>
          </w:tcPr>
          <w:p>
            <w:pPr>
              <w:pStyle w:val="Tabelle"/>
            </w:pPr>
            <w:r>
              <w:t xml:space="preserve">Vergleicht mit dem Lösungsbogen und schreibt einen Mustereintrag mit den üblichen Angaben an die Tafel.</w:t>
            </w:r>
          </w:p>
        </w:tc>
        <w:tc>
          <w:tcPr>
            <w:tcW w:w="2449" w:type="dxa"/>
          </w:tcPr>
          <w:p>
            <w:pPr>
              <w:pStyle w:val="Tabelle"/>
            </w:pPr>
            <w:r>
              <w:t xml:space="preserve">Formulieren gemeinsam einen Eintrag für die Rechtschreibhilfe vom Anfang und prüfen ihn gegen die Vorgabe der Schule.</w:t>
            </w:r>
          </w:p>
        </w:tc>
        <w:tc>
          <w:tcPr>
            <w:tcW w:w="2086" w:type="dxa"/>
          </w:tcPr>
          <w:p>
            <w:pPr>
              <w:pStyle w:val="Tabelle"/>
            </w:pPr>
            <w:r>
              <w:t xml:space="preserve">Arbeitsblatt mit Lösungsbogen</w:t>
            </w:r>
          </w:p>
        </w:tc>
      </w:tr>
    </w:tbl>
    <w:p/>
    <w:p>
      <w:pPr>
        <w:pStyle w:val="berschrift1"/>
      </w:pPr>
      <w:r>
        <w:t xml:space="preserve">Erweiterung zur Doppelstunde, weitere 45 Minuten</w:t>
      </w:r>
    </w:p>
    <w:tbl>
      <w:tblPr>
        <w:tblStyle w:val="Tabellengitter"/>
        <w:tblW w:w="9070" w:type="dxa"/>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Pr>
      <w:tblGrid>
        <w:gridCol w:w="726"/>
        <w:gridCol w:w="1361"/>
        <w:gridCol w:w="2449"/>
        <w:gridCol w:w="2449"/>
        <w:gridCol w:w="2086"/>
      </w:tblGrid>
      <w:tr>
        <w:trPr>
          <w:tblHeader/>
        </w:trPr>
        <w:tc>
          <w:tcPr>
            <w:tcW w:w="726" w:type="dxa"/>
            <w:shd w:val="clear" w:color="auto" w:fill="EEEEEE"/>
          </w:tcPr>
          <w:p>
            <w:pPr>
              <w:pStyle w:val="Tabelle"/>
            </w:pPr>
            <w:r>
              <w:rPr>
                <w:b/>
              </w:rPr>
              <w:t xml:space="preserve">Minute</w:t>
            </w:r>
          </w:p>
        </w:tc>
        <w:tc>
          <w:tcPr>
            <w:tcW w:w="1361" w:type="dxa"/>
            <w:shd w:val="clear" w:color="auto" w:fill="EEEEEE"/>
          </w:tcPr>
          <w:p>
            <w:pPr>
              <w:pStyle w:val="Tabelle"/>
            </w:pPr>
            <w:r>
              <w:rPr>
                <w:b/>
              </w:rPr>
              <w:t xml:space="preserve">Phase</w:t>
            </w:r>
          </w:p>
        </w:tc>
        <w:tc>
          <w:tcPr>
            <w:tcW w:w="2449" w:type="dxa"/>
            <w:shd w:val="clear" w:color="auto" w:fill="EEEEEE"/>
          </w:tcPr>
          <w:p>
            <w:pPr>
              <w:pStyle w:val="Tabelle"/>
            </w:pPr>
            <w:r>
              <w:rPr>
                <w:b/>
              </w:rPr>
              <w:t xml:space="preserve">Lehrkraft</w:t>
            </w:r>
          </w:p>
        </w:tc>
        <w:tc>
          <w:tcPr>
            <w:tcW w:w="2449" w:type="dxa"/>
            <w:shd w:val="clear" w:color="auto" w:fill="EEEEEE"/>
          </w:tcPr>
          <w:p>
            <w:pPr>
              <w:pStyle w:val="Tabelle"/>
            </w:pPr>
            <w:r>
              <w:rPr>
                <w:b/>
              </w:rPr>
              <w:t xml:space="preserve">Klasse</w:t>
            </w:r>
          </w:p>
        </w:tc>
        <w:tc>
          <w:tcPr>
            <w:tcW w:w="2086" w:type="dxa"/>
            <w:shd w:val="clear" w:color="auto" w:fill="EEEEEE"/>
          </w:tcPr>
          <w:p>
            <w:pPr>
              <w:pStyle w:val="Tabelle"/>
            </w:pPr>
            <w:r>
              <w:rPr>
                <w:b/>
              </w:rPr>
              <w:t xml:space="preserve">Material</w:t>
            </w:r>
          </w:p>
        </w:tc>
      </w:tr>
      <w:tr>
        <w:tc>
          <w:tcPr>
            <w:tcW w:w="726" w:type="dxa"/>
          </w:tcPr>
          <w:p>
            <w:pPr>
              <w:pStyle w:val="Tabelle"/>
            </w:pPr>
            <w:r>
              <w:t xml:space="preserve">45 bis 65</w:t>
            </w:r>
          </w:p>
        </w:tc>
        <w:tc>
          <w:tcPr>
            <w:tcW w:w="1361" w:type="dxa"/>
          </w:tcPr>
          <w:p>
            <w:pPr>
              <w:pStyle w:val="Tabelle"/>
            </w:pPr>
            <w:r>
              <w:rPr>
                <w:b/>
              </w:rPr>
              <w:t xml:space="preserve">Anwendung mit KI</w:t>
            </w:r>
            <w:r>
              <w:t xml:space="preserve">, Partnerarbeit</w:t>
            </w:r>
          </w:p>
        </w:tc>
        <w:tc>
          <w:tcPr>
            <w:tcW w:w="2449" w:type="dxa"/>
          </w:tcPr>
          <w:p>
            <w:pPr>
              <w:pStyle w:val="Tabelle"/>
            </w:pPr>
            <w:r>
              <w:t xml:space="preserve">Teilt den Praxisauftrag aus und nennt die an der Schule erlaubte KI. Ist an der Schule keine KI freigegeben, führt die Lehrkraft den Auftrag am Beamer vor, und die Klasse sagt an, was hineingeschrieben wird.</w:t>
            </w:r>
          </w:p>
        </w:tc>
        <w:tc>
          <w:tcPr>
            <w:tcW w:w="2449" w:type="dxa"/>
          </w:tcPr>
          <w:p>
            <w:pPr>
              <w:pStyle w:val="Tabelle"/>
            </w:pPr>
            <w:r>
              <w:t xml:space="preserve">Lassen mit dem Praxisauftrag aus eigenen Notizen Einträge vorschlagen und gleichen sie mit der Vorgabe der Schule ab.</w:t>
            </w:r>
          </w:p>
        </w:tc>
        <w:tc>
          <w:tcPr>
            <w:tcW w:w="2086" w:type="dxa"/>
          </w:tcPr>
          <w:p>
            <w:pPr>
              <w:pStyle w:val="Tabelle"/>
            </w:pPr>
            <w:r>
              <w:t xml:space="preserve">Praxisauftrag</w:t>
            </w:r>
          </w:p>
        </w:tc>
      </w:tr>
      <w:tr>
        <w:tc>
          <w:tcPr>
            <w:tcW w:w="726" w:type="dxa"/>
          </w:tcPr>
          <w:p>
            <w:pPr>
              <w:pStyle w:val="Tabelle"/>
            </w:pPr>
            <w:r>
              <w:t xml:space="preserve">65 bis 80</w:t>
            </w:r>
          </w:p>
        </w:tc>
        <w:tc>
          <w:tcPr>
            <w:tcW w:w="1361" w:type="dxa"/>
          </w:tcPr>
          <w:p>
            <w:pPr>
              <w:pStyle w:val="Tabelle"/>
            </w:pPr>
            <w:r>
              <w:rPr>
                <w:b/>
              </w:rPr>
              <w:t xml:space="preserve">Schreiben und gegenlesen</w:t>
            </w:r>
            <w:r>
              <w:t xml:space="preserve">, Partnerarbeit</w:t>
            </w:r>
          </w:p>
        </w:tc>
        <w:tc>
          <w:tcPr>
            <w:tcW w:w="2449" w:type="dxa"/>
          </w:tcPr>
          <w:p>
            <w:pPr>
              <w:pStyle w:val="Tabelle"/>
            </w:pPr>
            <w:r>
              <w:t xml:space="preserve">Teilt den Schreibauftrag aus. Nach acht Minuten tauschen die Paare die Blätter und bewerten mit dem Raster.</w:t>
            </w:r>
          </w:p>
        </w:tc>
        <w:tc>
          <w:tcPr>
            <w:tcW w:w="2449" w:type="dxa"/>
          </w:tcPr>
          <w:p>
            <w:pPr>
              <w:pStyle w:val="Tabelle"/>
            </w:pPr>
            <w:r>
              <w:t xml:space="preserve">Schreiben Aufgabe 7: einen Auftrag, der aus Notizen Einträge für ein Hilfsmittelverzeichnis formuliert und nichts dazuerfindet.</w:t>
            </w:r>
          </w:p>
        </w:tc>
        <w:tc>
          <w:tcPr>
            <w:tcW w:w="2086" w:type="dxa"/>
          </w:tcPr>
          <w:p>
            <w:pPr>
              <w:pStyle w:val="Tabelle"/>
            </w:pPr>
            <w:r>
              <w:t xml:space="preserve">Schreibauftrag mit Bewertungsraster</w:t>
            </w:r>
          </w:p>
        </w:tc>
      </w:tr>
      <w:tr>
        <w:tc>
          <w:tcPr>
            <w:tcW w:w="726" w:type="dxa"/>
          </w:tcPr>
          <w:p>
            <w:pPr>
              <w:pStyle w:val="Tabelle"/>
            </w:pPr>
            <w:r>
              <w:t xml:space="preserve">80 bis 90</w:t>
            </w:r>
          </w:p>
        </w:tc>
        <w:tc>
          <w:tcPr>
            <w:tcW w:w="1361" w:type="dxa"/>
          </w:tcPr>
          <w:p>
            <w:pPr>
              <w:pStyle w:val="Tabelle"/>
            </w:pPr>
            <w:r>
              <w:rPr>
                <w:b/>
              </w:rPr>
              <w:t xml:space="preserve">Wiederholen</w:t>
            </w:r>
            <w:r>
              <w:t xml:space="preserve">, Partnerarbeit</w:t>
            </w:r>
          </w:p>
        </w:tc>
        <w:tc>
          <w:tcPr>
            <w:tcW w:w="2449" w:type="dxa"/>
          </w:tcPr>
          <w:p>
            <w:pPr>
              <w:pStyle w:val="Tabelle"/>
            </w:pPr>
            <w:r>
              <w:t xml:space="preserve">Teilt die Karteikarten aus, beidseitig gedruckt und ausgeschnitten.</w:t>
            </w:r>
          </w:p>
        </w:tc>
        <w:tc>
          <w:tcPr>
            <w:tcW w:w="2449" w:type="dxa"/>
          </w:tcPr>
          <w:p>
            <w:pPr>
              <w:pStyle w:val="Tabelle"/>
            </w:pPr>
            <w:r>
              <w:t xml:space="preserve">Fragen die Karten ab und nennen zu jeder Karte, welche Angabe im Verzeichnis sie betrifft.</w:t>
            </w:r>
          </w:p>
        </w:tc>
        <w:tc>
          <w:tcPr>
            <w:tcW w:w="2086" w:type="dxa"/>
          </w:tcPr>
          <w:p>
            <w:pPr>
              <w:pStyle w:val="Tabelle"/>
            </w:pPr>
            <w:r>
              <w:t xml:space="preserve">Karteikarten</w:t>
            </w:r>
          </w:p>
        </w:tc>
      </w:tr>
    </w:tbl>
    <w:p/>
    <w:p>
      <w:pPr>
        <w:pStyle w:val="berschrift1"/>
      </w:pPr>
      <w:r>
        <w:t xml:space="preserve">Woran Sie sehen, dass das Ziel erreicht ist</w:t>
      </w:r>
    </w:p>
    <w:p>
      <w:r>
        <w:t xml:space="preserve">Jede Schülerin und jeder Schüler kann einen Eintrag ins Hilfsmittelverzeichnis schreiben, der Werkzeug, Zweck und Stelle nennt, und erklären, warum eine KI-Antwort kein Beleg für eine Zahl ist.</w:t>
      </w:r>
    </w:p>
    <w:p>
      <w:pPr>
        <w:pStyle w:val="berschrift1"/>
      </w:pPr>
      <w:r>
        <w:t xml:space="preserve">Differenzierung</w:t>
      </w:r>
    </w:p>
    <w:p>
      <w:r>
        <w:rPr>
          <w:b/>
        </w:rPr>
        <w:t xml:space="preserve">Leichter:</w:t>
      </w:r>
      <w:r>
        <w:t xml:space="preserve"> Der Mustereintrag steht von Anfang an an der Tafel; verpflichtend sind die Aufgaben 1 bis 4.</w:t>
      </w:r>
    </w:p>
    <w:p>
      <w:r>
        <w:rPr>
          <w:b/>
        </w:rPr>
        <w:t xml:space="preserve">Schwerer:</w:t>
      </w:r>
      <w:r>
        <w:t xml:space="preserve"> Für dieselbe Nutzung je einen Eintrag nach APA und nach MLA schreiben.</w:t>
      </w:r>
    </w:p>
    <w:p>
      <w:pPr>
        <w:pStyle w:val="berschrift1"/>
      </w:pPr>
      <w:r>
        <w:t xml:space="preserve">Stolpersteine, eingeschätzt</w:t>
      </w:r>
    </w:p>
    <w:p>
      <w:pPr>
        <w:pStyle w:val="Aufzhlungszeichen"/>
      </w:pPr>
      <w:r>
        <w:t xml:space="preserve">•  Was an der eigenen Schule gilt, steht in ihren Vorgaben. Fehlen sie, sagt die Lehrkraft das offen, statt eine Regel zu erfinden.</w:t>
      </w:r>
    </w:p>
    <w:p>
      <w:pPr>
        <w:pStyle w:val="berschrift1"/>
      </w:pPr>
      <w:r>
        <w:t xml:space="preserve">Lehrplan und Kompetenzen</w:t>
      </w:r>
    </w:p>
    <w:p>
      <w:r>
        <w:rPr>
          <w:b/>
        </w:rPr>
        <w:t xml:space="preserve">KMK-Handlungsempfehlung KI</w:t>
      </w:r>
      <w:r>
        <w:t xml:space="preserve">, Handlungsempfehlung für die Bildungsverwaltung zum Umgang mit Künstlicher Intelligenz in schulischen Bildungsprozessen (10.10.2024), Themenbereich 2, S. 7</w:t>
      </w:r>
    </w:p>
    <w:p>
      <w:pPr>
        <w:pStyle w:val="Hinweis"/>
      </w:pPr>
      <w:r>
        <w:t xml:space="preserve">„Daher sind Lehrkräfte zu befähigen, sich der veränderten Funktion und Rahmenbedingungen bewusst zu sein. Daraus ergeben sich notwendige Absprachen zur Verwendung und Kennzeichnung KI-generierter Produkte.“</w:t>
      </w:r>
    </w:p>
    <w:p>
      <w:r>
        <w:rPr>
          <w:b/>
        </w:rPr>
        <w:t xml:space="preserve">Anknüpfung:</w:t>
      </w:r>
      <w:r>
        <w:t xml:space="preserve"> Übt die Absprache zur Kennzeichnung von Arbeiten, an denen eine KI mitgewirkt hat, am Hilfsmittelverzeichnis.</w:t>
      </w:r>
    </w:p>
    <w:p>
      <w:pPr>
        <w:pStyle w:val="Hinweis"/>
      </w:pPr>
      <w:r>
        <w:t xml:space="preserve">Quelle: https://www.kmk.org/fileadmin/Dateien/veroeffentlichungen_beschluesse/2024/2024_10_10-Handlungsempfehlung-KI.pdf, abgerufen am 28.09.2026</w:t>
      </w:r>
    </w:p>
    <w:p>
      <w:r>
        <w:rPr>
          <w:b/>
        </w:rPr>
        <w:t xml:space="preserve">KMK-Handlungsempfehlung KI</w:t>
      </w:r>
      <w:r>
        <w:t xml:space="preserve">, Handlungsempfehlung für die Bildungsverwaltung zum Umgang mit Künstlicher Intelligenz in schulischen Bildungsprozessen (10.10.2024), Themenbereich 2, S. 7</w:t>
      </w:r>
    </w:p>
    <w:p>
      <w:pPr>
        <w:pStyle w:val="Hinweis"/>
      </w:pPr>
      <w:r>
        <w:t xml:space="preserve">„So gilt es im Sinne des formativen Assessments die Bewertung weg von der Produkt- hin zur Prozessorientierung zu lenken, wobei der Reflexion durch die Lernenden eine entscheidende Rolle zugesprochen wird.“</w:t>
      </w:r>
    </w:p>
    <w:p>
      <w:r>
        <w:rPr>
          <w:b/>
        </w:rPr>
        <w:t xml:space="preserve">Anknüpfung:</w:t>
      </w:r>
      <w:r>
        <w:t xml:space="preserve"> Die Angabe des KI-Einsatzes macht den Arbeitsprozess sichtbar und bereitet die Reflexion darüber vor.</w:t>
      </w:r>
    </w:p>
    <w:p>
      <w:pPr>
        <w:pStyle w:val="Hinweis"/>
      </w:pPr>
      <w:r>
        <w:t xml:space="preserve">Quelle: https://www.kmk.org/fileadmin/Dateien/veroeffentlichungen_beschluesse/2024/2024_10_10-Handlungsempfehlung-KI.pdf, abgerufen am 28.09.2026</w:t>
      </w:r>
    </w:p>
    <w:p>
      <w:r>
        <w:rPr>
          <w:b/>
        </w:rPr>
        <w:t xml:space="preserve">Offene Frage (LehrplanPLUS, andere Schularten):</w:t>
      </w:r>
      <w:r>
        <w:t xml:space="preserve"> Passt die Stunde in die Lehrpläne der Mittelschule, der Realschule oder der beruflichen Schulen, etwa in Deutsch oder in ein Fach mit Medienbildung? Dort ist nicht nachgesehen worden.</w:t>
      </w:r>
    </w:p>
    <w:p>
      <w:r>
        <w:rPr>
          <w:b/>
        </w:rPr>
        <w:t xml:space="preserve">Kompetenzrahmen</w:t>
      </w:r>
      <w:r>
        <w:t xml:space="preserve"> (Erstzuordnung, nicht von einer Lehrkraft geprüft; die deutschen Titel sind eine eigene Arbeitsübersetzung):</w:t>
      </w:r>
    </w:p>
    <w:p>
      <w:pPr>
        <w:pStyle w:val="Aufzhlungszeichen"/>
      </w:pPr>
      <w:r>
        <w:t xml:space="preserve">•  AILit Create with AI 4: Prüfen, wie KI Echtheit von Inhalten und geistiges Eigentum schützen oder verletzen kann.</w:t>
      </w:r>
    </w:p>
    <w:p>
      <w:pPr>
        <w:pStyle w:val="Aufzhlungszeichen"/>
      </w:pPr>
      <w:r>
        <w:t xml:space="preserve">•  DigComp 3.0 3.3: Urheberrecht und Lizenzen</w:t>
      </w:r>
    </w:p>
    <w:p>
      <w:pPr>
        <w:pStyle w:val="Aufzhlungszeichen"/>
      </w:pPr>
      <w:r>
        <w:t xml:space="preserve">•  AILit Engage with AI 7: Prüfen, wie gut der Einsatz eines KI-Systems zu ethischen Grundsätzen und menschlichen Werten passt.</w:t>
      </w:r>
    </w:p>
    <w:p>
      <w:pPr>
        <w:pStyle w:val="Hinweis"/>
      </w:pPr>
      <w:r>
        <w:t xml:space="preserve">Stand 30.09.2026 · Dieses Material darf für den eigenen Unterricht kopiert und ausgeteilt werden. Verkaufen oder auf anderen Plattformen anbieten ist nicht erlaubt. · schule.klenna.de</w:t>
      </w:r>
    </w:p>
    <w:p>
      <w:r>
        <w:br w:type="page"/>
      </w:r>
    </w:p>
    <w:p>
      <w:pPr>
        <w:pStyle w:val="Hinweis"/>
      </w:pPr>
      <w:r>
        <w:rPr>
          <w:b/>
        </w:rPr>
        <w:t xml:space="preserve">Einstiegsfolie, als Gliederung</w:t>
      </w:r>
    </w:p>
    <w:p>
      <w:pPr>
        <w:pStyle w:val="Titel"/>
      </w:pPr>
      <w:r>
        <w:t xml:space="preserve">Mit deiner Unterschrift</w:t>
      </w:r>
    </w:p>
    <w:p>
      <w:pPr>
        <w:pStyle w:val="Aufzhlungszeichen"/>
      </w:pPr>
      <w:r>
        <w:t xml:space="preserve">•  „Ich habe die Arbeit selbstständig verfasst.“</w:t>
      </w:r>
    </w:p>
    <w:p>
      <w:pPr>
        <w:pStyle w:val="Aufzhlungszeichen"/>
      </w:pPr>
      <w:r>
        <w:t xml:space="preserve">•  „Alle Hilfsmittel sind angegeben.“</w:t>
      </w:r>
    </w:p>
    <w:p>
      <w:pPr>
        <w:pStyle w:val="Aufzhlungszeichen"/>
      </w:pPr>
      <w:r>
        <w:t xml:space="preserve">•  Und die KI, die beim Gliedern half?</w:t>
      </w:r>
    </w:p>
    <w:p>
      <w:r>
        <w:rPr>
          <w:b/>
        </w:rPr>
        <w:t xml:space="preserve">Gehört eine KI, die nur Rechtschreibung geprüft hat, ins Hilfsmittelverzeichnis?</w:t>
      </w:r>
    </w:p>
    <w:p>
      <w:pPr>
        <w:pStyle w:val="berschrift2"/>
      </w:pPr>
      <w:r>
        <w:t xml:space="preserve">Für Sie, nicht für die Wand</w:t>
      </w:r>
    </w:p>
    <w:p>
      <w:r>
        <w:t xml:space="preserve">Meinungen sammeln, ohne sie aufzulösen. Die Antwort hängt an der Ordnung vor Ort; genau darum geht es in Aufgabe 2.</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Arial" w:hAnsi="Arial" w:eastAsia="Arial" w:cs="Arial"/>
        <w:sz w:val="22"/>
        <w:szCs w:val="22"/>
        <w:lang w:val="de-DE"/>
      </w:rPr>
    </w:rPrDefault>
    <w:pPrDefault>
      <w:pPr>
        <w:spacing w:after="120" w:line="276" w:lineRule="auto"/>
      </w:pPr>
    </w:pPrDefault>
  </w:docDefaults>
  <w:style w:type="paragraph" w:default="1" w:styleId="Standard">
    <w:name w:val="Normal"/>
    <w:qFormat/>
    <w:rPr>
      <w:rFonts w:ascii="Arial" w:hAnsi="Arial" w:eastAsia="Arial" w:cs="Arial"/>
      <w:sz w:val="22"/>
      <w:szCs w:val="22"/>
    </w:rPr>
  </w:style>
  <w:style w:type="paragraph" w:styleId="Titel">
    <w:name w:val="Title"/>
    <w:basedOn w:val="Standard"/>
    <w:next w:val="Standard"/>
    <w:qFormat/>
    <w:pPr>
      <w:spacing w:after="80"/>
    </w:pPr>
    <w:rPr>
      <w:b/>
      <w:sz w:val="40"/>
      <w:szCs w:val="40"/>
    </w:rPr>
  </w:style>
  <w:style w:type="paragraph" w:styleId="berschrift1">
    <w:name w:val="heading 1"/>
    <w:basedOn w:val="Standard"/>
    <w:next w:val="Standard"/>
    <w:qFormat/>
    <w:pPr>
      <w:keepNext/>
      <w:spacing w:before="240" w:after="80"/>
      <w:outlineLvl w:val="0"/>
    </w:pPr>
    <w:rPr>
      <w:b/>
      <w:sz w:val="28"/>
      <w:szCs w:val="28"/>
    </w:rPr>
  </w:style>
  <w:style w:type="paragraph" w:styleId="berschrift2">
    <w:name w:val="heading 2"/>
    <w:basedOn w:val="Standard"/>
    <w:next w:val="Standard"/>
    <w:qFormat/>
    <w:pPr>
      <w:keepNext/>
      <w:spacing w:before="160" w:after="60"/>
      <w:outlineLvl w:val="1"/>
    </w:pPr>
    <w:rPr>
      <w:b/>
      <w:sz w:val="24"/>
      <w:szCs w:val="24"/>
    </w:rPr>
  </w:style>
  <w:style w:type="paragraph" w:styleId="Aufzhlungszeichen">
    <w:name w:val="List Bullet"/>
    <w:basedOn w:val="Standard"/>
    <w:next w:val="Standard"/>
    <w:pPr>
      <w:ind w:left="360" w:hanging="240"/>
      <w:spacing w:after="60"/>
    </w:pPr>
    <w:rPr/>
  </w:style>
  <w:style w:type="paragraph" w:styleId="Hinweis">
    <w:name w:val="Hinweis"/>
    <w:basedOn w:val="Standard"/>
    <w:next w:val="Standard"/>
    <w:qFormat/>
    <w:pPr>
      <w:spacing w:after="80"/>
    </w:pPr>
    <w:rPr>
      <w:color w:val="474747"/>
      <w:sz w:val="20"/>
      <w:szCs w:val="20"/>
    </w:rPr>
  </w:style>
  <w:style w:type="paragraph" w:styleId="Tabelle">
    <w:name w:val="Tabelle"/>
    <w:basedOn w:val="Standard"/>
    <w:next w:val="Standard"/>
    <w:pPr>
      <w:spacing w:after="0" w:line="240" w:lineRule="auto"/>
    </w:pPr>
    <w:rPr>
      <w:sz w:val="20"/>
      <w:szCs w:val="20"/>
    </w:rPr>
  </w:style>
  <w:style w:type="table" w:styleId="Tabellengitter">
    <w:name w:val="Table Grid"/>
    <w:tblPr>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CellMar>
        <w:top w:w="60" w:type="dxa"/>
        <w:left w:w="100" w:type="dxa"/>
        <w:bottom w:w="6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dc:title>Stundenentwurf: KI richtig angeben</dc:title>
  <dc:creator>Klenna</dc:creator>
  <dc:language>de-DE</dc:language>
</cp:coreProperties>
</file>