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KI-Agenten und Automatisierung</w:t>
      </w:r>
    </w:p>
    <w:p>
      <w:pPr>
        <w:pStyle w:val="Hinweis"/>
      </w:pPr>
      <w:r>
        <w:t xml:space="preserve">Zur Lektion „KI-Agenten und Automatisierung“ · Ergänzung · Kapitel 4: KI-Werkzeuge im Griff · Lektion 1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unterscheiden einen Chat von einem Agenten, entscheiden je Schritt eines Ablaufs, ob er eine Freigabe braucht, und erkennen versteckte Anweisungen.</w:t>
      </w:r>
    </w:p>
    <w:p>
      <w:r>
        <w:rPr>
          <w:b/>
        </w:rPr>
        <w:t xml:space="preserve">Vorwissen:</w:t>
      </w:r>
      <w:r>
        <w:t xml:space="preserve"> Sicherer Umgang mit einem KI-Chat; hilfreich ist die Lektion „Das passende Werkzeug wählen“.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und hält die genannten Grenzen an der Tafel fest.</w:t>
            </w:r>
          </w:p>
        </w:tc>
        <w:tc>
          <w:tcPr>
            <w:tcW w:w="2449" w:type="dxa"/>
          </w:tcPr>
          <w:p>
            <w:pPr>
              <w:pStyle w:val="Tabelle"/>
            </w:pPr>
            <w:r>
              <w:t xml:space="preserve">Entscheiden, welche der drei Handlungen sie einem Programm allein überlassen würden, und begründen es.</w:t>
            </w:r>
          </w:p>
        </w:tc>
        <w:tc>
          <w:tcPr>
            <w:tcW w:w="2086" w:type="dxa"/>
          </w:tcPr>
          <w:p>
            <w:pPr>
              <w:pStyle w:val="Tabelle"/>
            </w:pPr>
            <w:r>
              <w:t xml:space="preserve">Einstiegsfolie</w:t>
            </w:r>
          </w:p>
        </w:tc>
      </w:tr>
      <w:tr>
        <w:tc>
          <w:tcPr>
            <w:tcW w:w="726" w:type="dxa"/>
          </w:tcPr>
          <w:p>
            <w:pPr>
              <w:pStyle w:val="Tabelle"/>
            </w:pPr>
            <w:r>
              <w:t xml:space="preserve">7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was ein Fehler bei jedem Schritt kosten würde.</w:t>
            </w:r>
          </w:p>
        </w:tc>
        <w:tc>
          <w:tcPr>
            <w:tcW w:w="2449" w:type="dxa"/>
          </w:tcPr>
          <w:p>
            <w:pPr>
              <w:pStyle w:val="Tabelle"/>
            </w:pPr>
            <w:r>
              <w:t xml:space="preserve">Lesen „Chat oder Agent“ und „Automatisieren oder begleiten“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die versteckte Anweisung im Protokoll finden.</w:t>
            </w:r>
          </w:p>
        </w:tc>
        <w:tc>
          <w:tcPr>
            <w:tcW w:w="2449" w:type="dxa"/>
          </w:tcPr>
          <w:p>
            <w:pPr>
              <w:pStyle w:val="Tabelle"/>
            </w:pPr>
            <w:r>
              <w:t xml:space="preserve">Lesen die Texte zu Bestätigungspunkten und versteckten Anweisungen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ergänzt die Tafel um die drei Arten von Handlungen, vor denen ein Ablauf anhält.</w:t>
            </w:r>
          </w:p>
        </w:tc>
        <w:tc>
          <w:tcPr>
            <w:tcW w:w="2449" w:type="dxa"/>
          </w:tcPr>
          <w:p>
            <w:pPr>
              <w:pStyle w:val="Tabelle"/>
            </w:pPr>
            <w:r>
              <w:t xml:space="preserve">Prüfen die Grenzen vom Anfang gegen die Bestätigungspunkte und korrigieren sie, wo nötig.</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Lassen mit dem Praxisauftrag einen Ablauf aus ihrem Alltag in Schritte zerlegen und markieren, wo ein Mensch freigeben muss.</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die Anweisung für einen Agenten, der Rechnungen sammelt, mit einer Grenze, was er nicht tun darf.</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ordnen jeder Karte einen Schritt zu, den ein Agent nur mit Freigabe tun darf.</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für einen beliebigen Ablauf zwei Schritte nennen, die automatisch laufen dürfen, und einen, der eine Freigabe braucht, jeweils mit Grund.</w:t>
      </w:r>
    </w:p>
    <w:p>
      <w:pPr>
        <w:pStyle w:val="berschrift1"/>
      </w:pPr>
      <w:r>
        <w:t xml:space="preserve">Differenzierung</w:t>
      </w:r>
    </w:p>
    <w:p>
      <w:r>
        <w:rPr>
          <w:b/>
        </w:rPr>
        <w:t xml:space="preserve">Leichter:</w:t>
      </w:r>
      <w:r>
        <w:t xml:space="preserve"> Die zwei Fragen aus „Automatisieren oder begleiten“ stehen an der Tafel; verpflichtend sind die Aufgaben 1 bis 4.</w:t>
      </w:r>
    </w:p>
    <w:p>
      <w:r>
        <w:rPr>
          <w:b/>
        </w:rPr>
        <w:t xml:space="preserve">Schwerer:</w:t>
      </w:r>
      <w:r>
        <w:t xml:space="preserve"> Für einen Agenten, der den Kalender der Schülervertretung pflegt, Freigaben und eine Regel gegen versteckte Anweisungen entwerfen.</w:t>
      </w:r>
    </w:p>
    <w:p>
      <w:pPr>
        <w:pStyle w:val="berschrift1"/>
      </w:pPr>
      <w:r>
        <w:t xml:space="preserve">Stolpersteine, eingeschätzt</w:t>
      </w:r>
    </w:p>
    <w:p>
      <w:pPr>
        <w:pStyle w:val="Aufzhlungszeichen"/>
      </w:pPr>
      <w:r>
        <w:t xml:space="preserve">•  Kein Agent wird in der Stunde mit echtem Postfach, Kalender oder Bezahlweg verbunden. Die Beispiele bleiben auf dem Papier oder im Chat.</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3</w:t>
      </w:r>
    </w:p>
    <w:p>
      <w:pPr>
        <w:pStyle w:val="Hinweis"/>
      </w:pPr>
      <w:r>
        <w:t xml:space="preserve">„Ein grundlegendes Verständnis der technischen Funktionsweisen sowie das Erkennen von Chancen, Grenzen und Risiken der neuen digitalen Möglichkeiten sind für einen verantwortungsbewussten und reflektierten Umgang sowie für einen lernförderlichen Einsatz im Unterricht und beim Lernen zu Hause unabdingbar.“</w:t>
      </w:r>
    </w:p>
    <w:p>
      <w:r>
        <w:rPr>
          <w:b/>
        </w:rPr>
        <w:t xml:space="preserve">Anknüpfung:</w:t>
      </w:r>
      <w:r>
        <w:t xml:space="preserve"> Macht an Agenten sichtbar, wo die Grenzen und Risiken einer KI liegen, die in fremdem Namen handelt.</w:t>
      </w:r>
    </w:p>
    <w:p>
      <w:pPr>
        <w:pStyle w:val="Hinweis"/>
      </w:pPr>
      <w:r>
        <w:t xml:space="preserve">Quelle: https://www.kmk.org/fileadmin/Dateien/veroeffentlichungen_beschluesse/2024/2024_10_10-Handlungsempfehlung-KI.pdf, abgerufen am 28.09.2026</w:t>
      </w:r>
    </w:p>
    <w:p>
      <w:r>
        <w:rPr>
          <w:b/>
        </w:rPr>
        <w:t xml:space="preserve">LehrplanPLUS Bayern</w:t>
      </w:r>
      <w:r>
        <w:t xml:space="preserve">, Gymnasium, Informatik 11 (NTG), Lernbereich 4: Künstliche Intelligenz, letzte Kompetenzerwartung</w:t>
      </w:r>
    </w:p>
    <w:p>
      <w:pPr>
        <w:pStyle w:val="Hinweis"/>
      </w:pPr>
      <w:r>
        <w:t xml:space="preserve">„Die Schülerinnen und Schüler … nehmen zu ausgewählten aktuellen Einsatzmöglichkeiten der Künstlichen Intelligenz Stellung und bewerten Chancen und Risiken für Individuum und Gesellschaft.“</w:t>
      </w:r>
    </w:p>
    <w:p>
      <w:r>
        <w:rPr>
          <w:b/>
        </w:rPr>
        <w:t xml:space="preserve">Anknüpfung:</w:t>
      </w:r>
      <w:r>
        <w:t xml:space="preserve"> Die Klasse nimmt Stellung zu einer aktuellen Einsatzmöglichkeit und wägt Nutzen und Risiko je Schritt ab.</w:t>
      </w:r>
    </w:p>
    <w:p>
      <w:pPr>
        <w:pStyle w:val="Hinweis"/>
      </w:pPr>
      <w:r>
        <w:t xml:space="preserve">Quelle: https://www.lehrplanplus.bayern.de/fachlehrplan/gymnasium/11/informatik/ntg, abgerufen am 28.09.2026</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Manage AI 3: Ein Problem zerlegen, um zu bestimmen, wann und wie KI Aufgaben automatisieren oder unterstützen soll.</w:t>
      </w:r>
    </w:p>
    <w:p>
      <w:pPr>
        <w:pStyle w:val="Aufzhlungszeichen"/>
      </w:pPr>
      <w:r>
        <w:t xml:space="preserve">•  AILit Shape AI 1: Untersuchen, wie ein KI-System arbeiten soll, für wen es gebaut ist und wo seine Grenzen liegen.</w:t>
      </w:r>
    </w:p>
    <w:p>
      <w:pPr>
        <w:pStyle w:val="Aufzhlungszeichen"/>
      </w:pPr>
      <w:r>
        <w:t xml:space="preserve">•  AILit Manage AI 2: Für eine Aufgabe den passenden KI-Ansatz wählen, indem man vergleicht, wie Systeme arbeiten und wofür sie taugen.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Erledigt, während du schläfst</w:t>
      </w:r>
    </w:p>
    <w:p>
      <w:pPr>
        <w:pStyle w:val="Aufzhlungszeichen"/>
      </w:pPr>
      <w:r>
        <w:t xml:space="preserve">•  Ein Programm liest deine Mails.</w:t>
      </w:r>
    </w:p>
    <w:p>
      <w:pPr>
        <w:pStyle w:val="Aufzhlungszeichen"/>
      </w:pPr>
      <w:r>
        <w:t xml:space="preserve">•  Es antwortet, bucht und bestellt.</w:t>
      </w:r>
    </w:p>
    <w:p>
      <w:pPr>
        <w:pStyle w:val="Aufzhlungszeichen"/>
      </w:pPr>
      <w:r>
        <w:t xml:space="preserve">•  Du siehst morgens nur das Ergebnis.</w:t>
      </w:r>
    </w:p>
    <w:p>
      <w:r>
        <w:rPr>
          <w:b/>
        </w:rPr>
        <w:t xml:space="preserve">Welche dieser drei Sachen würdest du einem Programm allein überlassen?</w:t>
      </w:r>
    </w:p>
    <w:p>
      <w:pPr>
        <w:pStyle w:val="berschrift2"/>
      </w:pPr>
      <w:r>
        <w:t xml:space="preserve">Für Sie, nicht für die Wand</w:t>
      </w:r>
    </w:p>
    <w:p>
      <w:r>
        <w:t xml:space="preserve">Festhalten, wo die Klasse eine Grenze zieht. Aufgabe 2 prüft sie an einem Beispiel.</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KI-Agenten und Automatisierung</dc:title>
  <dc:creator>Klenna</dc:creator>
  <dc:language>de-DE</dc:language>
</cp:coreProperties>
</file>