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Meisterstück: der Prompt, der beim zehnten Mal noch trägt</w:t>
      </w:r>
    </w:p>
    <w:p>
      <w:pPr>
        <w:pStyle w:val="Hinweis"/>
      </w:pPr>
      <w:r>
        <w:t xml:space="preserve">Zur Lektion „Meisterstück: der Prompt, der beim zehnten Mal noch trägt“ · Kurs Einstieg · Kapitel 2: Prompten wie ein Profi · Lektion 5 · 45 Minuten, als Doppelstunde 90 · KI-Zugang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bauen einen Prompt, der auch in einem Fall funktioniert, an den sie beim Schreiben nicht gedacht haben, und prüfen ihn gezielt auf Bruchstellen.</w:t>
      </w:r>
    </w:p>
    <w:p>
      <w:r>
        <w:rPr>
          <w:b/>
        </w:rPr>
        <w:t xml:space="preserve">Vorwissen:</w:t>
      </w:r>
      <w:r>
        <w:t xml:space="preserve"> Die übrigen vier Stunden des Kapitels.</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Schreibauftrag mit Bewertungsraster, aus derselben Lektion</w:t>
      </w:r>
    </w:p>
    <w:p>
      <w:pPr>
        <w:pStyle w:val="Aufzhlungszeichen"/>
      </w:pPr>
      <w:r>
        <w:t xml:space="preserve">•  Praxisauftrag,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6</w:t>
            </w:r>
          </w:p>
        </w:tc>
        <w:tc>
          <w:tcPr>
            <w:tcW w:w="1361" w:type="dxa"/>
          </w:tcPr>
          <w:p>
            <w:pPr>
              <w:pStyle w:val="Tabelle"/>
            </w:pPr>
            <w:r>
              <w:rPr>
                <w:b/>
              </w:rPr>
              <w:t xml:space="preserve">Einstieg</w:t>
            </w:r>
            <w:r>
              <w:t xml:space="preserve">, Plenum</w:t>
            </w:r>
          </w:p>
        </w:tc>
        <w:tc>
          <w:tcPr>
            <w:tcW w:w="2449" w:type="dxa"/>
          </w:tcPr>
          <w:p>
            <w:pPr>
              <w:pStyle w:val="Tabelle"/>
            </w:pPr>
            <w:r>
              <w:t xml:space="preserve">Stellt die Frage auf der Folie und überträgt die Antworten auf Prompts.</w:t>
            </w:r>
          </w:p>
        </w:tc>
        <w:tc>
          <w:tcPr>
            <w:tcW w:w="2449" w:type="dxa"/>
          </w:tcPr>
          <w:p>
            <w:pPr>
              <w:pStyle w:val="Tabelle"/>
            </w:pPr>
            <w:r>
              <w:t xml:space="preserve">Sammeln Gründe, warum Bewährtes scheitert.</w:t>
            </w:r>
          </w:p>
        </w:tc>
        <w:tc>
          <w:tcPr>
            <w:tcW w:w="2086" w:type="dxa"/>
          </w:tcPr>
          <w:p>
            <w:pPr>
              <w:pStyle w:val="Tabelle"/>
            </w:pPr>
            <w:r>
              <w:t xml:space="preserve">Einstiegsfolie</w:t>
            </w:r>
          </w:p>
        </w:tc>
      </w:tr>
      <w:tr>
        <w:tc>
          <w:tcPr>
            <w:tcW w:w="726" w:type="dxa"/>
          </w:tcPr>
          <w:p>
            <w:pPr>
              <w:pStyle w:val="Tabelle"/>
            </w:pPr>
            <w:r>
              <w:t xml:space="preserve">6 bis 18</w:t>
            </w:r>
          </w:p>
        </w:tc>
        <w:tc>
          <w:tcPr>
            <w:tcW w:w="1361" w:type="dxa"/>
          </w:tcPr>
          <w:p>
            <w:pPr>
              <w:pStyle w:val="Tabelle"/>
            </w:pPr>
            <w:r>
              <w:rPr>
                <w:b/>
              </w:rPr>
              <w:t xml:space="preserve">Erarbeitung</w:t>
            </w:r>
            <w:r>
              <w:t xml:space="preserve">, Partnerarbeit</w:t>
            </w:r>
          </w:p>
        </w:tc>
        <w:tc>
          <w:tcPr>
            <w:tcW w:w="2449" w:type="dxa"/>
          </w:tcPr>
          <w:p>
            <w:pPr>
              <w:pStyle w:val="Tabelle"/>
            </w:pPr>
            <w:r>
              <w:t xml:space="preserve">Teilt das Arbeitsblatt aus und bespricht Aufgabe 1 gemeinsam.</w:t>
            </w:r>
          </w:p>
        </w:tc>
        <w:tc>
          <w:tcPr>
            <w:tcW w:w="2449" w:type="dxa"/>
          </w:tcPr>
          <w:p>
            <w:pPr>
              <w:pStyle w:val="Tabelle"/>
            </w:pPr>
            <w:r>
              <w:t xml:space="preserve">Lösen die Aufgaben 1 bis 3 und notieren zu Aufgabe 1, an welchem Fall der Prompt scheitern wird.</w:t>
            </w:r>
          </w:p>
        </w:tc>
        <w:tc>
          <w:tcPr>
            <w:tcW w:w="2086" w:type="dxa"/>
          </w:tcPr>
          <w:p>
            <w:pPr>
              <w:pStyle w:val="Tabelle"/>
            </w:pPr>
            <w:r>
              <w:t xml:space="preserve">Arbeitsblatt mit Lösungsbogen</w:t>
            </w:r>
          </w:p>
        </w:tc>
      </w:tr>
      <w:tr>
        <w:tc>
          <w:tcPr>
            <w:tcW w:w="726" w:type="dxa"/>
          </w:tcPr>
          <w:p>
            <w:pPr>
              <w:pStyle w:val="Tabelle"/>
            </w:pPr>
            <w:r>
              <w:t xml:space="preserve">18 bis 35</w:t>
            </w:r>
          </w:p>
        </w:tc>
        <w:tc>
          <w:tcPr>
            <w:tcW w:w="1361" w:type="dxa"/>
          </w:tcPr>
          <w:p>
            <w:pPr>
              <w:pStyle w:val="Tabelle"/>
            </w:pPr>
            <w:r>
              <w:rPr>
                <w:b/>
              </w:rPr>
              <w:t xml:space="preserve">Bauen</w:t>
            </w:r>
            <w:r>
              <w:t xml:space="preserve">, Einzelarbeit</w:t>
            </w:r>
          </w:p>
        </w:tc>
        <w:tc>
          <w:tcPr>
            <w:tcW w:w="2449" w:type="dxa"/>
          </w:tcPr>
          <w:p>
            <w:pPr>
              <w:pStyle w:val="Tabelle"/>
            </w:pPr>
            <w:r>
              <w:t xml:space="preserve">Prüft beim Herumgehen die Grenzzeilen und die Regel für fehlende Angaben.</w:t>
            </w:r>
          </w:p>
        </w:tc>
        <w:tc>
          <w:tcPr>
            <w:tcW w:w="2449" w:type="dxa"/>
          </w:tcPr>
          <w:p>
            <w:pPr>
              <w:pStyle w:val="Tabelle"/>
            </w:pPr>
            <w:r>
              <w:t xml:space="preserve">Schreiben Aufgabe 4, den eigenen haltbaren Prompt.</w:t>
            </w:r>
          </w:p>
        </w:tc>
        <w:tc>
          <w:tcPr>
            <w:tcW w:w="2086" w:type="dxa"/>
          </w:tcPr>
          <w:p>
            <w:pPr>
              <w:pStyle w:val="Tabelle"/>
            </w:pPr>
            <w:r>
              <w:t xml:space="preserve">Schreibauftrag mit Bewertungsraster</w:t>
            </w:r>
          </w:p>
        </w:tc>
      </w:tr>
      <w:tr>
        <w:tc>
          <w:tcPr>
            <w:tcW w:w="726" w:type="dxa"/>
          </w:tcPr>
          <w:p>
            <w:pPr>
              <w:pStyle w:val="Tabelle"/>
            </w:pPr>
            <w:r>
              <w:t xml:space="preserve">35 bis 45</w:t>
            </w:r>
          </w:p>
        </w:tc>
        <w:tc>
          <w:tcPr>
            <w:tcW w:w="1361" w:type="dxa"/>
          </w:tcPr>
          <w:p>
            <w:pPr>
              <w:pStyle w:val="Tabelle"/>
            </w:pPr>
            <w:r>
              <w:rPr>
                <w:b/>
              </w:rPr>
              <w:t xml:space="preserve">Sicherung</w:t>
            </w:r>
            <w:r>
              <w:t xml:space="preserve">, Partnerarbeit</w:t>
            </w:r>
          </w:p>
        </w:tc>
        <w:tc>
          <w:tcPr>
            <w:tcW w:w="2449" w:type="dxa"/>
          </w:tcPr>
          <w:p>
            <w:pPr>
              <w:pStyle w:val="Tabelle"/>
            </w:pPr>
            <w:r>
              <w:t xml:space="preserve">Lässt tauschen: Jede Person denkt sich einen Fall aus, an dem der fremde Prompt scheitern könnte.</w:t>
            </w:r>
          </w:p>
        </w:tc>
        <w:tc>
          <w:tcPr>
            <w:tcW w:w="2449" w:type="dxa"/>
          </w:tcPr>
          <w:p>
            <w:pPr>
              <w:pStyle w:val="Tabelle"/>
            </w:pPr>
            <w:r>
              <w:t xml:space="preserve">Suchen im Prompt der anderen Person eine Bruchstelle und bewerten mit dem Raster.</w:t>
            </w:r>
          </w:p>
        </w:tc>
        <w:tc>
          <w:tcPr>
            <w:tcW w:w="2086" w:type="dxa"/>
          </w:tcPr>
          <w:p>
            <w:pPr>
              <w:pStyle w:val="Tabelle"/>
            </w:pPr>
            <w:r>
              <w:t xml:space="preserve">Schreibauftrag mit Bewertungsraster</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70</w:t>
            </w:r>
          </w:p>
        </w:tc>
        <w:tc>
          <w:tcPr>
            <w:tcW w:w="1361" w:type="dxa"/>
          </w:tcPr>
          <w:p>
            <w:pPr>
              <w:pStyle w:val="Tabelle"/>
            </w:pPr>
            <w:r>
              <w:rPr>
                <w:b/>
              </w:rPr>
              <w:t xml:space="preserve">Unter Druck setzen</w:t>
            </w:r>
            <w:r>
              <w:t xml:space="preserve">, Einzelarbeit</w:t>
            </w:r>
          </w:p>
        </w:tc>
        <w:tc>
          <w:tcPr>
            <w:tcW w:w="2449" w:type="dxa"/>
          </w:tcPr>
          <w:p>
            <w:pPr>
              <w:pStyle w:val="Tabelle"/>
            </w:pPr>
            <w:r>
              <w:t xml:space="preserve">Teilt den Praxisauftrag aus: drei Schritte im selben Chat.</w:t>
            </w:r>
          </w:p>
        </w:tc>
        <w:tc>
          <w:tcPr>
            <w:tcW w:w="2449" w:type="dxa"/>
          </w:tcPr>
          <w:p>
            <w:pPr>
              <w:pStyle w:val="Tabelle"/>
            </w:pPr>
            <w:r>
              <w:t xml:space="preserve">Spielen den eigenen Prompt mit einem gewöhnlichen, einem lückenhaften und einem widersprüchlichen Fall durch.</w:t>
            </w:r>
          </w:p>
        </w:tc>
        <w:tc>
          <w:tcPr>
            <w:tcW w:w="2086" w:type="dxa"/>
          </w:tcPr>
          <w:p>
            <w:pPr>
              <w:pStyle w:val="Tabelle"/>
            </w:pPr>
            <w:r>
              <w:t xml:space="preserve">Praxisauftrag</w:t>
            </w:r>
          </w:p>
        </w:tc>
      </w:tr>
      <w:tr>
        <w:tc>
          <w:tcPr>
            <w:tcW w:w="726" w:type="dxa"/>
          </w:tcPr>
          <w:p>
            <w:pPr>
              <w:pStyle w:val="Tabelle"/>
            </w:pPr>
            <w:r>
              <w:t xml:space="preserve">70 bis 80</w:t>
            </w:r>
          </w:p>
        </w:tc>
        <w:tc>
          <w:tcPr>
            <w:tcW w:w="1361" w:type="dxa"/>
          </w:tcPr>
          <w:p>
            <w:pPr>
              <w:pStyle w:val="Tabelle"/>
            </w:pPr>
            <w:r>
              <w:rPr>
                <w:b/>
              </w:rPr>
              <w:t xml:space="preserve">Nachbessern</w:t>
            </w:r>
            <w:r>
              <w:t xml:space="preserve">, Einzelarbeit</w:t>
            </w:r>
          </w:p>
        </w:tc>
        <w:tc>
          <w:tcPr>
            <w:tcW w:w="2449" w:type="dxa"/>
          </w:tcPr>
          <w:p>
            <w:pPr>
              <w:pStyle w:val="Tabelle"/>
            </w:pPr>
            <w:r>
              <w:t xml:space="preserve">Fragt nach dem Fall, der den Prompt gebrochen hat.</w:t>
            </w:r>
          </w:p>
        </w:tc>
        <w:tc>
          <w:tcPr>
            <w:tcW w:w="2449" w:type="dxa"/>
          </w:tcPr>
          <w:p>
            <w:pPr>
              <w:pStyle w:val="Tabelle"/>
            </w:pPr>
            <w:r>
              <w:t xml:space="preserve">Regeln diesen Fall im Prompt und markieren die neue Zeile.</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Galerie</w:t>
            </w:r>
            <w:r>
              <w:t xml:space="preserve">, Plenum</w:t>
            </w:r>
          </w:p>
        </w:tc>
        <w:tc>
          <w:tcPr>
            <w:tcW w:w="2449" w:type="dxa"/>
          </w:tcPr>
          <w:p>
            <w:pPr>
              <w:pStyle w:val="Tabelle"/>
            </w:pPr>
            <w:r>
              <w:t xml:space="preserve">Hängt einige Prompts aus und lässt die neuen Zeilen vergleichen.</w:t>
            </w:r>
          </w:p>
        </w:tc>
        <w:tc>
          <w:tcPr>
            <w:tcW w:w="2449" w:type="dxa"/>
          </w:tcPr>
          <w:p>
            <w:pPr>
              <w:pStyle w:val="Tabelle"/>
            </w:pPr>
            <w:r>
              <w:t xml:space="preserve">Lesen fremde Prompts und notieren eine Regel, die sie übernehmen würden.</w:t>
            </w:r>
          </w:p>
        </w:tc>
        <w:tc>
          <w:tcPr>
            <w:tcW w:w="2086" w:type="dxa"/>
          </w:tcPr>
          <w:p>
            <w:pPr>
              <w:pStyle w:val="Tabelle"/>
            </w:pPr>
          </w:p>
        </w:tc>
      </w:tr>
    </w:tbl>
    <w:p/>
    <w:p>
      <w:pPr>
        <w:pStyle w:val="berschrift1"/>
      </w:pPr>
      <w:r>
        <w:t xml:space="preserve">Woran Sie sehen, dass das Ziel erreicht ist</w:t>
      </w:r>
    </w:p>
    <w:p>
      <w:r>
        <w:t xml:space="preserve">Der Prompt regelt ausdrücklich mindestens einen Fall, in dem etwas fehlt, und hat eine beschriftete Grenze um das Material; das Raster zeigt beides.</w:t>
      </w:r>
    </w:p>
    <w:p>
      <w:pPr>
        <w:pStyle w:val="berschrift1"/>
      </w:pPr>
      <w:r>
        <w:t xml:space="preserve">Differenzierung</w:t>
      </w:r>
    </w:p>
    <w:p>
      <w:r>
        <w:rPr>
          <w:b/>
        </w:rPr>
        <w:t xml:space="preserve">Leichter:</w:t>
      </w:r>
      <w:r>
        <w:t xml:space="preserve"> Die Vorlage aus der Stunde „Deine erste eigene Vorlage“ wird zum haltbaren Prompt ausgebaut statt neu geschrieben.</w:t>
      </w:r>
    </w:p>
    <w:p>
      <w:r>
        <w:rPr>
          <w:b/>
        </w:rPr>
        <w:t xml:space="preserve">Schwerer:</w:t>
      </w:r>
      <w:r>
        <w:t xml:space="preserve"> Den Prompt so bauen, dass er eine im Material versteckte Anweisung erkennt und meldet, statt sie auszuführen.</w:t>
      </w:r>
    </w:p>
    <w:p>
      <w:pPr>
        <w:pStyle w:val="berschrift1"/>
      </w:pPr>
      <w:r>
        <w:t xml:space="preserve">Stolpersteine, eingeschätzt</w:t>
      </w:r>
    </w:p>
    <w:p>
      <w:pPr>
        <w:pStyle w:val="Aufzhlungszeichen"/>
      </w:pPr>
      <w:r>
        <w:t xml:space="preserve">•  Haltbar wird mit lang verwechselt. Der Merksatz der ersten Karte sagt ausdrücklich das Gegenteil.</w:t>
      </w:r>
    </w:p>
    <w:p>
      <w:pPr>
        <w:pStyle w:val="Aufzhlungszeichen"/>
      </w:pPr>
      <w:r>
        <w:t xml:space="preserve">•  In 45 Minuten bleibt die Prüfung an echten Fällen aus. Ohne Doppelstunde den Praxisauftrag als Hausaufgabe geben.</w:t>
      </w:r>
    </w:p>
    <w:p>
      <w:pPr>
        <w:pStyle w:val="berschrift1"/>
      </w:pPr>
      <w:r>
        <w:t xml:space="preserve">Lehrplan und Kompetenzen</w:t>
      </w:r>
    </w:p>
    <w:p>
      <w:r>
        <w:rPr>
          <w:b/>
        </w:rPr>
        <w:t xml:space="preserve">LehrplanPLUS Bayern</w:t>
      </w:r>
      <w:r>
        <w:t xml:space="preserve">, Gymnasium, Informatik 11 (NTG), Lernbereich 5: Vertiefung</w:t>
      </w:r>
    </w:p>
    <w:p>
      <w:pPr>
        <w:pStyle w:val="Hinweis"/>
      </w:pPr>
      <w:r>
        <w:t xml:space="preserve">„Die Schülerinnen und Schüler … lösen eine weiterführende Problemstellung mit Bezug zu einem der Lernbereiche 1 bis 4, ggf. mit Methoden der Projektarbeit.“</w:t>
      </w:r>
    </w:p>
    <w:p>
      <w:r>
        <w:rPr>
          <w:b/>
        </w:rPr>
        <w:t xml:space="preserve">Anknüpfung:</w:t>
      </w:r>
      <w:r>
        <w:t xml:space="preserve"> Eine weiterführende Aufgabe mit Methoden der Projektarbeit, wenn das Kapitel an den Lernbereich 4 anschließt.</w:t>
      </w:r>
    </w:p>
    <w:p>
      <w:pPr>
        <w:pStyle w:val="Hinweis"/>
      </w:pPr>
      <w:r>
        <w:t xml:space="preserve">Quelle: https://www.lehrplanplus.bayern.de/fachlehrplan/gymnasium/11/informatik/ntg, abgerufen am 28.09.2026</w:t>
      </w:r>
    </w:p>
    <w:p>
      <w:r>
        <w:rPr>
          <w:b/>
        </w:rPr>
        <w:t xml:space="preserve">KMK-Handlungsempfehlung KI</w:t>
      </w:r>
      <w:r>
        <w:t xml:space="preserve">, Handlungsempfehlung für die Bildungsverwaltung zum Umgang mit Künstlicher Intelligenz in schulischen Bildungsprozessen (10.10.2024), Themenbereich 2, S. 7</w:t>
      </w:r>
    </w:p>
    <w:p>
      <w:pPr>
        <w:pStyle w:val="Hinweis"/>
      </w:pPr>
      <w:r>
        <w:t xml:space="preserve">„So gilt es im Sinne des formativen Assessments die Bewertung weg von der Produkt- hin zur Prozessorientierung zu lenken, wobei der Reflexion durch die Lernenden eine entscheidende Rolle zugesprochen wird.“</w:t>
      </w:r>
    </w:p>
    <w:p>
      <w:r>
        <w:rPr>
          <w:b/>
        </w:rPr>
        <w:t xml:space="preserve">Anknüpfung:</w:t>
      </w:r>
      <w:r>
        <w:t xml:space="preserve"> Das Nachbessern an gefundenen Bruchstellen macht den Arbeitsprozess sichtbar und bewertbar.</w:t>
      </w:r>
    </w:p>
    <w:p>
      <w:pPr>
        <w:pStyle w:val="Hinweis"/>
      </w:pPr>
      <w:r>
        <w:t xml:space="preserve">Quelle: https://www.kmk.org/fileadmin/Dateien/veroeffentlichungen_beschluesse/2024/2024_10_10-Handlungsempfehlung-KI.pdf,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Create with AI 3: Generative KI so steuern, dass sie Rückmeldung gibt, Ergebnisse verbessert und das Nachdenken unterstützt.</w:t>
      </w:r>
    </w:p>
    <w:p>
      <w:pPr>
        <w:pStyle w:val="Aufzhlungszeichen"/>
      </w:pPr>
      <w:r>
        <w:t xml:space="preserve">•  AILit Manage AI 4: Den KI-Einsatz während der ganzen Problemlösung beobachten und bewerten.</w:t>
      </w:r>
    </w:p>
    <w:p>
      <w:pPr>
        <w:pStyle w:val="Aufzhlungszeichen"/>
      </w:pPr>
      <w:r>
        <w:t xml:space="preserve">•  DigComp 3.0 3.1: Digitale Inhalte entwickeln</w:t>
      </w:r>
    </w:p>
    <w:p>
      <w:pPr>
        <w:pStyle w:val="Hinweis"/>
      </w:pPr>
      <w:r>
        <w:t xml:space="preserve">Stand 28.09.2026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Dreimal ging es gut</w:t>
      </w:r>
    </w:p>
    <w:p>
      <w:pPr>
        <w:pStyle w:val="Aufzhlungszeichen"/>
      </w:pPr>
      <w:r>
        <w:t xml:space="preserve">•  Was passiert beim vierten Fall?</w:t>
      </w:r>
    </w:p>
    <w:p>
      <w:pPr>
        <w:pStyle w:val="Aufzhlungszeichen"/>
      </w:pPr>
      <w:r>
        <w:t xml:space="preserve">•  Was, wenn eine Angabe fehlt?</w:t>
      </w:r>
    </w:p>
    <w:p>
      <w:pPr>
        <w:pStyle w:val="Aufzhlungszeichen"/>
      </w:pPr>
      <w:r>
        <w:t xml:space="preserve">•  Was, wenn das Material eine Anweisung enthält?</w:t>
      </w:r>
    </w:p>
    <w:p>
      <w:r>
        <w:rPr>
          <w:b/>
        </w:rPr>
        <w:t xml:space="preserve">Woran scheitert ein Rezept, das bisher immer geklappt hat?</w:t>
      </w:r>
    </w:p>
    <w:p>
      <w:pPr>
        <w:pStyle w:val="berschrift2"/>
      </w:pPr>
      <w:r>
        <w:t xml:space="preserve">Für Sie, nicht für die Wand</w:t>
      </w:r>
    </w:p>
    <w:p>
      <w:r>
        <w:t xml:space="preserve">Die Antworten übertragen: Ein Prompt scheitert an Fällen, die er nicht regelt. Das Meisterstück baut genau diese Regeln ein.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Meisterstück: der Prompt, der beim zehnten Mal noch trägt</dc:title>
  <dc:creator>Klenna</dc:creator>
  <dc:language>de-DE</dc:language>
</cp:coreProperties>
</file>