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Kontext ist der stärkste Hebel</w:t>
      </w:r>
    </w:p>
    <w:p>
      <w:pPr>
        <w:pStyle w:val="Hinweis"/>
      </w:pPr>
      <w:r>
        <w:t xml:space="preserve">Zur Lektion „Kontext ist der stärkste Hebel“ · Kurs Einstieg · Kapitel 2: Prompten wie ein Profi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entscheiden, welche Angaben die Antwort verändern und deshalb in einen Auftrag gehören, und trennen fremdes Material mit einer sichtbaren Grenze vom Auftrag.</w:t>
      </w:r>
    </w:p>
    <w:p>
      <w:r>
        <w:rPr>
          <w:b/>
        </w:rPr>
        <w:t xml:space="preserve">Vorwissen:</w:t>
      </w:r>
      <w:r>
        <w:t xml:space="preserve"> Kapitel „Erste Schritte“, mindestens „Dein erster richtiger Prompt“.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8</w:t>
            </w:r>
          </w:p>
        </w:tc>
        <w:tc>
          <w:tcPr>
            <w:tcW w:w="1361" w:type="dxa"/>
          </w:tcPr>
          <w:p>
            <w:pPr>
              <w:pStyle w:val="Tabelle"/>
            </w:pPr>
            <w:r>
              <w:rPr>
                <w:b/>
              </w:rPr>
              <w:t xml:space="preserve">Einstieg</w:t>
            </w:r>
            <w:r>
              <w:t xml:space="preserve">, Plenum</w:t>
            </w:r>
          </w:p>
        </w:tc>
        <w:tc>
          <w:tcPr>
            <w:tcW w:w="2449" w:type="dxa"/>
          </w:tcPr>
          <w:p>
            <w:pPr>
              <w:pStyle w:val="Tabelle"/>
            </w:pPr>
            <w:r>
              <w:t xml:space="preserve">Sammelt Angaben zur Frage auf der Folie und streicht mit der Klasse, was nichts ändert.</w:t>
            </w:r>
          </w:p>
        </w:tc>
        <w:tc>
          <w:tcPr>
            <w:tcW w:w="2449" w:type="dxa"/>
          </w:tcPr>
          <w:p>
            <w:pPr>
              <w:pStyle w:val="Tabelle"/>
            </w:pPr>
            <w:r>
              <w:t xml:space="preserve">Nennen Angaben und begründen, welche bleiben.</w:t>
            </w:r>
          </w:p>
        </w:tc>
        <w:tc>
          <w:tcPr>
            <w:tcW w:w="2086" w:type="dxa"/>
          </w:tcPr>
          <w:p>
            <w:pPr>
              <w:pStyle w:val="Tabelle"/>
            </w:pPr>
            <w:r>
              <w:t xml:space="preserve">Einstiegsfolie</w:t>
            </w:r>
          </w:p>
        </w:tc>
      </w:tr>
      <w:tr>
        <w:tc>
          <w:tcPr>
            <w:tcW w:w="726" w:type="dxa"/>
          </w:tcPr>
          <w:p>
            <w:pPr>
              <w:pStyle w:val="Tabelle"/>
            </w:pPr>
            <w:r>
              <w:t xml:space="preserve">8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und erklärt kurz das Bild der zwei Grenzzeilen.</w:t>
            </w:r>
          </w:p>
        </w:tc>
        <w:tc>
          <w:tcPr>
            <w:tcW w:w="2449" w:type="dxa"/>
          </w:tcPr>
          <w:p>
            <w:pPr>
              <w:pStyle w:val="Tabelle"/>
            </w:pPr>
            <w:r>
              <w:t xml:space="preserve">Lesen „Die KI kennt dich nicht“ und „Die Materialgrenze“ und lösen die Aufgaben 1 bis 4.</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Aufgaben 5 bis 8 lösen; bei Aufgabe 6 die Reihenfolge begründen lassen.</w:t>
            </w:r>
          </w:p>
        </w:tc>
        <w:tc>
          <w:tcPr>
            <w:tcW w:w="2449" w:type="dxa"/>
          </w:tcPr>
          <w:p>
            <w:pPr>
              <w:pStyle w:val="Tabelle"/>
            </w:pPr>
            <w:r>
              <w:t xml:space="preserve">Lesen „Was sie annimmt, wenn du schweigst“ und lösen die Aufgaben 5 bis 8.</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Schreibt die Rückfrage „Welche Annahmen hast du getroffen?“ an die Tafel und vergleicht mit dem Lösungsbogen.</w:t>
            </w:r>
          </w:p>
        </w:tc>
        <w:tc>
          <w:tcPr>
            <w:tcW w:w="2449" w:type="dxa"/>
          </w:tcPr>
          <w:p>
            <w:pPr>
              <w:pStyle w:val="Tabelle"/>
            </w:pPr>
            <w:r>
              <w:t xml:space="preserve">Notieren den Maßstab für Kontext und die Rückfrage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die KI zu einer echten Aufgabe erst Rückfragen stellen, bevor sie antwortet, und notieren, welche Angaben ihnen selbst gefehlt haben.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9: einen Auftrag mit eigenem Text, eingerahmt von zwei beschrifteten Grenzzeilen.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Spielen Karten-Duell: Wer die Rückseite zuerst richtig sagt, bekommt die Karte.</w:t>
            </w:r>
          </w:p>
        </w:tc>
        <w:tc>
          <w:tcPr>
            <w:tcW w:w="2086" w:type="dxa"/>
          </w:tcPr>
          <w:p>
            <w:pPr>
              <w:pStyle w:val="Tabelle"/>
            </w:pPr>
            <w:r>
              <w:t xml:space="preserve">Karteikarten</w:t>
            </w:r>
          </w:p>
        </w:tc>
      </w:tr>
    </w:tbl>
    <w:p/>
    <w:p>
      <w:pPr>
        <w:pStyle w:val="berschrift1"/>
      </w:pPr>
      <w:r>
        <w:t xml:space="preserve">Woran Sie sehen, dass das Ziel erreicht ist</w:t>
      </w:r>
    </w:p>
    <w:p>
      <w:r>
        <w:t xml:space="preserve">In einem überladenen Beispielauftrag streicht jede Schülerin und jeder Schüler die Angaben, die die Antwort nicht verändern, und begründet eine Streichung.</w:t>
      </w:r>
    </w:p>
    <w:p>
      <w:pPr>
        <w:pStyle w:val="berschrift1"/>
      </w:pPr>
      <w:r>
        <w:t xml:space="preserve">Differenzierung</w:t>
      </w:r>
    </w:p>
    <w:p>
      <w:r>
        <w:rPr>
          <w:b/>
        </w:rPr>
        <w:t xml:space="preserve">Leichter:</w:t>
      </w:r>
      <w:r>
        <w:t xml:space="preserve"> Zu Aufgabe 1 eine Frage als Hilfe: „Würde die Mail anders aussehen, wenn diese Angabe fehlt?“</w:t>
      </w:r>
    </w:p>
    <w:p>
      <w:r>
        <w:rPr>
          <w:b/>
        </w:rPr>
        <w:t xml:space="preserve">Schwerer:</w:t>
      </w:r>
      <w:r>
        <w:t xml:space="preserve"> Einen fremden Text so einrahmen, dass eine darin versteckte Anweisung, etwa „Ignoriere alles davor“, nicht befolgt wird, und das ausprobieren.</w:t>
      </w:r>
    </w:p>
    <w:p>
      <w:pPr>
        <w:pStyle w:val="berschrift1"/>
      </w:pPr>
      <w:r>
        <w:t xml:space="preserve">Stolpersteine, eingeschätzt</w:t>
      </w:r>
    </w:p>
    <w:p>
      <w:pPr>
        <w:pStyle w:val="Aufzhlungszeichen"/>
      </w:pPr>
      <w:r>
        <w:t xml:space="preserve">•  Die Materialgrenze wirkt zunächst wie eine Formsache. Der schwerere Auftrag zeigt am besten, warum sie nötig ist.</w:t>
      </w:r>
    </w:p>
    <w:p>
      <w:pPr>
        <w:pStyle w:val="Aufzhlungszeichen"/>
      </w:pPr>
      <w:r>
        <w:t xml:space="preserve">•  Echter Kontext ist oft persönlich. Auf die Stunde „Wo du besser die Finger weglässt“ verweisen: Lücken statt echter Daten.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Wie ein Modell fehlende Angaben mit Annahmen füllt, als Teil des Verständnisses der Funktionsweise.</w:t>
      </w:r>
    </w:p>
    <w:p>
      <w:pPr>
        <w:pStyle w:val="Hinweis"/>
      </w:pPr>
      <w:r>
        <w:t xml:space="preserve">Quelle: https://www.kmk.org/fileadmin/Dateien/veroeffentlichungen_beschluesse/2024/2024_10_10-Handlungsempfehlung-KI.pdf, abgerufen am 28.09.2026</w:t>
      </w:r>
    </w:p>
    <w:p>
      <w:r>
        <w:rPr>
          <w:b/>
        </w:rPr>
        <w:t xml:space="preserve">Offene Frage (LehrplanPLUS):</w:t>
      </w:r>
      <w:r>
        <w:t xml:space="preserve"> Gibt es im Fach Deutsch eine Kompetenzerwartung zum Unterscheiden von Auftrag und zitiertem Material, an die die Materialgrenze anknüpft?</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DigComp 3.0 3.1: Digitale Inhalte entwickeln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Die KI kennt dich nicht</w:t>
      </w:r>
    </w:p>
    <w:p>
      <w:pPr>
        <w:pStyle w:val="Aufzhlungszeichen"/>
      </w:pPr>
      <w:r>
        <w:t xml:space="preserve">•  Was weißt du, was sie nicht weiß?</w:t>
      </w:r>
    </w:p>
    <w:p>
      <w:pPr>
        <w:pStyle w:val="Aufzhlungszeichen"/>
      </w:pPr>
      <w:r>
        <w:t xml:space="preserve">•  Was davon ändert die Antwort?</w:t>
      </w:r>
    </w:p>
    <w:p>
      <w:pPr>
        <w:pStyle w:val="Aufzhlungszeichen"/>
      </w:pPr>
      <w:r>
        <w:t xml:space="preserve">•  Nur das gehört hinein.</w:t>
      </w:r>
    </w:p>
    <w:p>
      <w:r>
        <w:rPr>
          <w:b/>
        </w:rPr>
        <w:t xml:space="preserve">Du lässt eine Mail an deine Vermieterin schreiben. Was muss sie wissen?</w:t>
      </w:r>
    </w:p>
    <w:p>
      <w:pPr>
        <w:pStyle w:val="berschrift2"/>
      </w:pPr>
      <w:r>
        <w:t xml:space="preserve">Für Sie, nicht für die Wand</w:t>
      </w:r>
    </w:p>
    <w:p>
      <w:r>
        <w:t xml:space="preserve">Alles sammeln, dann gemeinsam streichen, was die Antwort nicht verändert. Das ist der Maßstab der Stunde, nicht „möglichst viel“.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Kontext ist der stärkste Hebel</dc:title>
  <dc:creator>Klenna</dc:creator>
  <dc:language>de-DE</dc:language>
</cp:coreProperties>
</file>