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Hinweis"/>
      </w:pPr>
      <w:r>
        <w:rPr>
          <w:b/>
        </w:rPr>
        <w:t xml:space="preserve">Stundenentwurf</w:t>
      </w:r>
    </w:p>
    <w:p>
      <w:pPr>
        <w:pStyle w:val="Titel"/>
      </w:pPr>
      <w:r>
        <w:t xml:space="preserve">Wo du besser die Finger weglässt</w:t>
      </w:r>
    </w:p>
    <w:p>
      <w:pPr>
        <w:pStyle w:val="Hinweis"/>
      </w:pPr>
      <w:r>
        <w:t xml:space="preserve">Zur Lektion „Wo du besser die Finger weglässt“ · Kurs Einstieg · Kapitel 1: Erste Schritte · Lektion 4 · 45 Minuten, als Doppelstunde 90 · KI-Zugang hilfreich, nicht nötig</w:t>
      </w:r>
    </w:p>
    <w:p>
      <w:r>
        <w:rPr>
          <w:b/>
        </w:rPr>
        <w:t xml:space="preserve">Entwurf: noch nicht fachlich geprüft.</w:t>
      </w:r>
      <w:r>
        <w:t xml:space="preserve"> Dieses Material ist ein Entwurf. Es wurde noch von keiner Lehrkraft fachlich geprüft oder im Unterricht erprobt. Bitte lesen Sie es vor dem Einsatz selbst und passen Sie es an Ihre Klasse an.</w:t>
      </w:r>
    </w:p>
    <w:p>
      <w:r>
        <w:rPr>
          <w:b/>
        </w:rPr>
        <w:t xml:space="preserve">Lernziel:</w:t>
      </w:r>
      <w:r>
        <w:t xml:space="preserve"> Die Schülerinnen und Schüler nennen Bereiche, in denen eine KI-Antwort nicht ohne Prüfung übernommen werden darf (Gesundheit, Recht, Geld), und ersetzen persönliche Daten in einem Auftrag durch Lücken.</w:t>
      </w:r>
    </w:p>
    <w:p>
      <w:r>
        <w:rPr>
          <w:b/>
        </w:rPr>
        <w:t xml:space="preserve">Vorwissen:</w:t>
      </w:r>
      <w:r>
        <w:t xml:space="preserve"> Die Stunde „Was ist eine KI überhaupt?“.</w:t>
      </w:r>
    </w:p>
    <w:p>
      <w:pPr>
        <w:pStyle w:val="berschrift1"/>
      </w:pPr>
      <w:r>
        <w:t xml:space="preserve">Material</w:t>
      </w:r>
    </w:p>
    <w:p>
      <w:pPr>
        <w:pStyle w:val="Aufzhlungszeichen"/>
      </w:pPr>
      <w:r>
        <w:t xml:space="preserve">•  Einstiegsfolie, als Gliederung auf der letzten Seite</w:t>
      </w:r>
    </w:p>
    <w:p>
      <w:pPr>
        <w:pStyle w:val="Aufzhlungszeichen"/>
      </w:pPr>
      <w:r>
        <w:t xml:space="preserve">•  Arbeitsblatt mit Lösungsbogen, aus derselben Lektion</w:t>
      </w:r>
    </w:p>
    <w:p>
      <w:pPr>
        <w:pStyle w:val="Aufzhlungszeichen"/>
      </w:pPr>
      <w:r>
        <w:t xml:space="preserve">•  Praxisauftrag, aus derselben Lektion</w:t>
      </w:r>
    </w:p>
    <w:p>
      <w:pPr>
        <w:pStyle w:val="Aufzhlungszeichen"/>
      </w:pPr>
      <w:r>
        <w:t xml:space="preserve">•  Schreibauftrag mit Bewertungsraster, aus derselben Lektion</w:t>
      </w:r>
    </w:p>
    <w:p>
      <w:pPr>
        <w:pStyle w:val="Aufzhlungszeichen"/>
      </w:pPr>
      <w:r>
        <w:t xml:space="preserve">•  Karteikarten, aus derselben Lektion</w:t>
      </w:r>
    </w:p>
    <w:p>
      <w:pPr>
        <w:pStyle w:val="berschrift1"/>
      </w:pPr>
      <w:r>
        <w:t xml:space="preserve">Ablauf der Einzelstunde, 45 Minuten</w:t>
      </w:r>
    </w:p>
    <w:tbl>
      <w:tblPr>
        <w:tblStyle w:val="Tabellengitter"/>
        <w:tblW w:w="9070"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Pr>
      <w:tblGrid>
        <w:gridCol w:w="726"/>
        <w:gridCol w:w="1361"/>
        <w:gridCol w:w="2449"/>
        <w:gridCol w:w="2449"/>
        <w:gridCol w:w="2086"/>
      </w:tblGrid>
      <w:tr>
        <w:trPr>
          <w:tblHeader/>
        </w:trPr>
        <w:tc>
          <w:tcPr>
            <w:tcW w:w="726" w:type="dxa"/>
            <w:shd w:val="clear" w:color="auto" w:fill="EEEEEE"/>
          </w:tcPr>
          <w:p>
            <w:pPr>
              <w:pStyle w:val="Tabelle"/>
            </w:pPr>
            <w:r>
              <w:rPr>
                <w:b/>
              </w:rPr>
              <w:t xml:space="preserve">Minute</w:t>
            </w:r>
          </w:p>
        </w:tc>
        <w:tc>
          <w:tcPr>
            <w:tcW w:w="1361" w:type="dxa"/>
            <w:shd w:val="clear" w:color="auto" w:fill="EEEEEE"/>
          </w:tcPr>
          <w:p>
            <w:pPr>
              <w:pStyle w:val="Tabelle"/>
            </w:pPr>
            <w:r>
              <w:rPr>
                <w:b/>
              </w:rPr>
              <w:t xml:space="preserve">Phase</w:t>
            </w:r>
          </w:p>
        </w:tc>
        <w:tc>
          <w:tcPr>
            <w:tcW w:w="2449" w:type="dxa"/>
            <w:shd w:val="clear" w:color="auto" w:fill="EEEEEE"/>
          </w:tcPr>
          <w:p>
            <w:pPr>
              <w:pStyle w:val="Tabelle"/>
            </w:pPr>
            <w:r>
              <w:rPr>
                <w:b/>
              </w:rPr>
              <w:t xml:space="preserve">Lehrkraft</w:t>
            </w:r>
          </w:p>
        </w:tc>
        <w:tc>
          <w:tcPr>
            <w:tcW w:w="2449" w:type="dxa"/>
            <w:shd w:val="clear" w:color="auto" w:fill="EEEEEE"/>
          </w:tcPr>
          <w:p>
            <w:pPr>
              <w:pStyle w:val="Tabelle"/>
            </w:pPr>
            <w:r>
              <w:rPr>
                <w:b/>
              </w:rPr>
              <w:t xml:space="preserve">Klasse</w:t>
            </w:r>
          </w:p>
        </w:tc>
        <w:tc>
          <w:tcPr>
            <w:tcW w:w="2086" w:type="dxa"/>
            <w:shd w:val="clear" w:color="auto" w:fill="EEEEEE"/>
          </w:tcPr>
          <w:p>
            <w:pPr>
              <w:pStyle w:val="Tabelle"/>
            </w:pPr>
            <w:r>
              <w:rPr>
                <w:b/>
              </w:rPr>
              <w:t xml:space="preserve">Material</w:t>
            </w:r>
          </w:p>
        </w:tc>
      </w:tr>
      <w:tr>
        <w:tc>
          <w:tcPr>
            <w:tcW w:w="726" w:type="dxa"/>
          </w:tcPr>
          <w:p>
            <w:pPr>
              <w:pStyle w:val="Tabelle"/>
            </w:pPr>
            <w:r>
              <w:t xml:space="preserve">0 bis 5</w:t>
            </w:r>
          </w:p>
        </w:tc>
        <w:tc>
          <w:tcPr>
            <w:tcW w:w="1361" w:type="dxa"/>
          </w:tcPr>
          <w:p>
            <w:pPr>
              <w:pStyle w:val="Tabelle"/>
            </w:pPr>
            <w:r>
              <w:rPr>
                <w:b/>
              </w:rPr>
              <w:t xml:space="preserve">Einstieg</w:t>
            </w:r>
            <w:r>
              <w:t xml:space="preserve">, Plenum</w:t>
            </w:r>
          </w:p>
        </w:tc>
        <w:tc>
          <w:tcPr>
            <w:tcW w:w="2449" w:type="dxa"/>
          </w:tcPr>
          <w:p>
            <w:pPr>
              <w:pStyle w:val="Tabelle"/>
            </w:pPr>
            <w:r>
              <w:t xml:space="preserve">Zeigt die Folie und lässt die Frage still beantworten.</w:t>
            </w:r>
          </w:p>
        </w:tc>
        <w:tc>
          <w:tcPr>
            <w:tcW w:w="2449" w:type="dxa"/>
          </w:tcPr>
          <w:p>
            <w:pPr>
              <w:pStyle w:val="Tabelle"/>
            </w:pPr>
            <w:r>
              <w:t xml:space="preserve">Denken still nach.</w:t>
            </w:r>
          </w:p>
        </w:tc>
        <w:tc>
          <w:tcPr>
            <w:tcW w:w="2086" w:type="dxa"/>
          </w:tcPr>
          <w:p>
            <w:pPr>
              <w:pStyle w:val="Tabelle"/>
            </w:pPr>
            <w:r>
              <w:t xml:space="preserve">Einstiegsfolie</w:t>
            </w:r>
          </w:p>
        </w:tc>
      </w:tr>
      <w:tr>
        <w:tc>
          <w:tcPr>
            <w:tcW w:w="726" w:type="dxa"/>
          </w:tcPr>
          <w:p>
            <w:pPr>
              <w:pStyle w:val="Tabelle"/>
            </w:pPr>
            <w:r>
              <w:t xml:space="preserve">5 bis 18</w:t>
            </w:r>
          </w:p>
        </w:tc>
        <w:tc>
          <w:tcPr>
            <w:tcW w:w="1361" w:type="dxa"/>
          </w:tcPr>
          <w:p>
            <w:pPr>
              <w:pStyle w:val="Tabelle"/>
            </w:pPr>
            <w:r>
              <w:rPr>
                <w:b/>
              </w:rPr>
              <w:t xml:space="preserve">Erarbeitung I</w:t>
            </w:r>
            <w:r>
              <w:t xml:space="preserve">, Einzelarbeit</w:t>
            </w:r>
          </w:p>
        </w:tc>
        <w:tc>
          <w:tcPr>
            <w:tcW w:w="2449" w:type="dxa"/>
          </w:tcPr>
          <w:p>
            <w:pPr>
              <w:pStyle w:val="Tabelle"/>
            </w:pPr>
            <w:r>
              <w:t xml:space="preserve">Teilt das Arbeitsblatt aus und begleitet Aufgabe 3, die Prüfung einer Frist.</w:t>
            </w:r>
          </w:p>
        </w:tc>
        <w:tc>
          <w:tcPr>
            <w:tcW w:w="2449" w:type="dxa"/>
          </w:tcPr>
          <w:p>
            <w:pPr>
              <w:pStyle w:val="Tabelle"/>
            </w:pPr>
            <w:r>
              <w:t xml:space="preserve">Lesen „Drei Ecken, in denen es teuer wird“ und lösen die Aufgaben 1 bis 3.</w:t>
            </w:r>
          </w:p>
        </w:tc>
        <w:tc>
          <w:tcPr>
            <w:tcW w:w="2086" w:type="dxa"/>
          </w:tcPr>
          <w:p>
            <w:pPr>
              <w:pStyle w:val="Tabelle"/>
            </w:pPr>
            <w:r>
              <w:t xml:space="preserve">Arbeitsblatt mit Lösungsbogen</w:t>
            </w:r>
          </w:p>
        </w:tc>
      </w:tr>
      <w:tr>
        <w:tc>
          <w:tcPr>
            <w:tcW w:w="726" w:type="dxa"/>
          </w:tcPr>
          <w:p>
            <w:pPr>
              <w:pStyle w:val="Tabelle"/>
            </w:pPr>
            <w:r>
              <w:t xml:space="preserve">18 bis 33</w:t>
            </w:r>
          </w:p>
        </w:tc>
        <w:tc>
          <w:tcPr>
            <w:tcW w:w="1361" w:type="dxa"/>
          </w:tcPr>
          <w:p>
            <w:pPr>
              <w:pStyle w:val="Tabelle"/>
            </w:pPr>
            <w:r>
              <w:rPr>
                <w:b/>
              </w:rPr>
              <w:t xml:space="preserve">Erarbeitung II</w:t>
            </w:r>
            <w:r>
              <w:t xml:space="preserve">, Partnerarbeit</w:t>
            </w:r>
          </w:p>
        </w:tc>
        <w:tc>
          <w:tcPr>
            <w:tcW w:w="2449" w:type="dxa"/>
          </w:tcPr>
          <w:p>
            <w:pPr>
              <w:pStyle w:val="Tabelle"/>
            </w:pPr>
            <w:r>
              <w:t xml:space="preserve">Lässt die Paare die Aufgaben 4 bis 7 lösen. Bei Aufgabe 5 fragt die Lehrkraft nach, welche Zeile sie am meisten überrascht hat.</w:t>
            </w:r>
          </w:p>
        </w:tc>
        <w:tc>
          <w:tcPr>
            <w:tcW w:w="2449" w:type="dxa"/>
          </w:tcPr>
          <w:p>
            <w:pPr>
              <w:pStyle w:val="Tabelle"/>
            </w:pPr>
            <w:r>
              <w:t xml:space="preserve">Lesen die Texte zu Eingaben und lösen die Aufgaben 4 bis 7.</w:t>
            </w:r>
          </w:p>
        </w:tc>
        <w:tc>
          <w:tcPr>
            <w:tcW w:w="2086" w:type="dxa"/>
          </w:tcPr>
          <w:p>
            <w:pPr>
              <w:pStyle w:val="Tabelle"/>
            </w:pPr>
            <w:r>
              <w:t xml:space="preserve">Arbeitsblatt mit Lösungsbogen</w:t>
            </w:r>
          </w:p>
        </w:tc>
      </w:tr>
      <w:tr>
        <w:tc>
          <w:tcPr>
            <w:tcW w:w="726" w:type="dxa"/>
          </w:tcPr>
          <w:p>
            <w:pPr>
              <w:pStyle w:val="Tabelle"/>
            </w:pPr>
            <w:r>
              <w:t xml:space="preserve">33 bis 45</w:t>
            </w:r>
          </w:p>
        </w:tc>
        <w:tc>
          <w:tcPr>
            <w:tcW w:w="1361" w:type="dxa"/>
          </w:tcPr>
          <w:p>
            <w:pPr>
              <w:pStyle w:val="Tabelle"/>
            </w:pPr>
            <w:r>
              <w:rPr>
                <w:b/>
              </w:rPr>
              <w:t xml:space="preserve">Sicherung</w:t>
            </w:r>
            <w:r>
              <w:t xml:space="preserve">, Plenum</w:t>
            </w:r>
          </w:p>
        </w:tc>
        <w:tc>
          <w:tcPr>
            <w:tcW w:w="2449" w:type="dxa"/>
          </w:tcPr>
          <w:p>
            <w:pPr>
              <w:pStyle w:val="Tabelle"/>
            </w:pPr>
            <w:r>
              <w:t xml:space="preserve">Sammelt eine Liste „gehört nicht in den Chat“ und die drei teuren Bereiche an der Tafel.</w:t>
            </w:r>
          </w:p>
        </w:tc>
        <w:tc>
          <w:tcPr>
            <w:tcW w:w="2449" w:type="dxa"/>
          </w:tcPr>
          <w:p>
            <w:pPr>
              <w:pStyle w:val="Tabelle"/>
            </w:pPr>
            <w:r>
              <w:t xml:space="preserve">Übertragen die Liste und schreiben daneben, wie eine Lücke dafür aussieht, etwa „[Name]“.</w:t>
            </w:r>
          </w:p>
        </w:tc>
        <w:tc>
          <w:tcPr>
            <w:tcW w:w="2086" w:type="dxa"/>
          </w:tcPr>
          <w:p>
            <w:pPr>
              <w:pStyle w:val="Tabelle"/>
            </w:pPr>
            <w:r>
              <w:t xml:space="preserve">Arbeitsblatt mit Lösungsbogen</w:t>
            </w:r>
          </w:p>
        </w:tc>
      </w:tr>
    </w:tbl>
    <w:p/>
    <w:p>
      <w:pPr>
        <w:pStyle w:val="berschrift1"/>
      </w:pPr>
      <w:r>
        <w:t xml:space="preserve">Erweiterung zur Doppelstunde, weitere 45 Minuten</w:t>
      </w:r>
    </w:p>
    <w:tbl>
      <w:tblPr>
        <w:tblStyle w:val="Tabellengitter"/>
        <w:tblW w:w="9070"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Pr>
      <w:tblGrid>
        <w:gridCol w:w="726"/>
        <w:gridCol w:w="1361"/>
        <w:gridCol w:w="2449"/>
        <w:gridCol w:w="2449"/>
        <w:gridCol w:w="2086"/>
      </w:tblGrid>
      <w:tr>
        <w:trPr>
          <w:tblHeader/>
        </w:trPr>
        <w:tc>
          <w:tcPr>
            <w:tcW w:w="726" w:type="dxa"/>
            <w:shd w:val="clear" w:color="auto" w:fill="EEEEEE"/>
          </w:tcPr>
          <w:p>
            <w:pPr>
              <w:pStyle w:val="Tabelle"/>
            </w:pPr>
            <w:r>
              <w:rPr>
                <w:b/>
              </w:rPr>
              <w:t xml:space="preserve">Minute</w:t>
            </w:r>
          </w:p>
        </w:tc>
        <w:tc>
          <w:tcPr>
            <w:tcW w:w="1361" w:type="dxa"/>
            <w:shd w:val="clear" w:color="auto" w:fill="EEEEEE"/>
          </w:tcPr>
          <w:p>
            <w:pPr>
              <w:pStyle w:val="Tabelle"/>
            </w:pPr>
            <w:r>
              <w:rPr>
                <w:b/>
              </w:rPr>
              <w:t xml:space="preserve">Phase</w:t>
            </w:r>
          </w:p>
        </w:tc>
        <w:tc>
          <w:tcPr>
            <w:tcW w:w="2449" w:type="dxa"/>
            <w:shd w:val="clear" w:color="auto" w:fill="EEEEEE"/>
          </w:tcPr>
          <w:p>
            <w:pPr>
              <w:pStyle w:val="Tabelle"/>
            </w:pPr>
            <w:r>
              <w:rPr>
                <w:b/>
              </w:rPr>
              <w:t xml:space="preserve">Lehrkraft</w:t>
            </w:r>
          </w:p>
        </w:tc>
        <w:tc>
          <w:tcPr>
            <w:tcW w:w="2449" w:type="dxa"/>
            <w:shd w:val="clear" w:color="auto" w:fill="EEEEEE"/>
          </w:tcPr>
          <w:p>
            <w:pPr>
              <w:pStyle w:val="Tabelle"/>
            </w:pPr>
            <w:r>
              <w:rPr>
                <w:b/>
              </w:rPr>
              <w:t xml:space="preserve">Klasse</w:t>
            </w:r>
          </w:p>
        </w:tc>
        <w:tc>
          <w:tcPr>
            <w:tcW w:w="2086" w:type="dxa"/>
            <w:shd w:val="clear" w:color="auto" w:fill="EEEEEE"/>
          </w:tcPr>
          <w:p>
            <w:pPr>
              <w:pStyle w:val="Tabelle"/>
            </w:pPr>
            <w:r>
              <w:rPr>
                <w:b/>
              </w:rPr>
              <w:t xml:space="preserve">Material</w:t>
            </w:r>
          </w:p>
        </w:tc>
      </w:tr>
      <w:tr>
        <w:tc>
          <w:tcPr>
            <w:tcW w:w="726" w:type="dxa"/>
          </w:tcPr>
          <w:p>
            <w:pPr>
              <w:pStyle w:val="Tabelle"/>
            </w:pPr>
            <w:r>
              <w:t xml:space="preserve">45 bis 65</w:t>
            </w:r>
          </w:p>
        </w:tc>
        <w:tc>
          <w:tcPr>
            <w:tcW w:w="1361" w:type="dxa"/>
          </w:tcPr>
          <w:p>
            <w:pPr>
              <w:pStyle w:val="Tabelle"/>
            </w:pPr>
            <w:r>
              <w:rPr>
                <w:b/>
              </w:rPr>
              <w:t xml:space="preserve">Anwendung mit KI</w:t>
            </w:r>
            <w:r>
              <w:t xml:space="preserve">, Partnerarbeit</w:t>
            </w:r>
          </w:p>
        </w:tc>
        <w:tc>
          <w:tcPr>
            <w:tcW w:w="2449" w:type="dxa"/>
          </w:tcPr>
          <w:p>
            <w:pPr>
              <w:pStyle w:val="Tabelle"/>
            </w:pPr>
            <w:r>
              <w:t xml:space="preserve">Teilt den Praxisauftrag aus und nennt die an der Schule erlaubte KI. Ist an der Schule keine KI freigegeben, führt die Lehrkraft den Auftrag am Beamer vor, und die Klasse sagt an, was hineingeschrieben wird.</w:t>
            </w:r>
          </w:p>
        </w:tc>
        <w:tc>
          <w:tcPr>
            <w:tcW w:w="2449" w:type="dxa"/>
          </w:tcPr>
          <w:p>
            <w:pPr>
              <w:pStyle w:val="Tabelle"/>
            </w:pPr>
            <w:r>
              <w:t xml:space="preserve">Nehmen einen eigenen, schon abgeschickten Auftrag oder ein ausgedachtes Beispiel und lassen es auf persönliche Daten durchsehen; ersetzen jede Fundstelle durch eine Lücke.</w:t>
            </w:r>
          </w:p>
        </w:tc>
        <w:tc>
          <w:tcPr>
            <w:tcW w:w="2086" w:type="dxa"/>
          </w:tcPr>
          <w:p>
            <w:pPr>
              <w:pStyle w:val="Tabelle"/>
            </w:pPr>
            <w:r>
              <w:t xml:space="preserve">Praxisauftrag</w:t>
            </w:r>
          </w:p>
        </w:tc>
      </w:tr>
      <w:tr>
        <w:tc>
          <w:tcPr>
            <w:tcW w:w="726" w:type="dxa"/>
          </w:tcPr>
          <w:p>
            <w:pPr>
              <w:pStyle w:val="Tabelle"/>
            </w:pPr>
            <w:r>
              <w:t xml:space="preserve">65 bis 80</w:t>
            </w:r>
          </w:p>
        </w:tc>
        <w:tc>
          <w:tcPr>
            <w:tcW w:w="1361" w:type="dxa"/>
          </w:tcPr>
          <w:p>
            <w:pPr>
              <w:pStyle w:val="Tabelle"/>
            </w:pPr>
            <w:r>
              <w:rPr>
                <w:b/>
              </w:rPr>
              <w:t xml:space="preserve">Schreiben und gegenlesen</w:t>
            </w:r>
            <w:r>
              <w:t xml:space="preserve">, Partnerarbeit</w:t>
            </w:r>
          </w:p>
        </w:tc>
        <w:tc>
          <w:tcPr>
            <w:tcW w:w="2449" w:type="dxa"/>
          </w:tcPr>
          <w:p>
            <w:pPr>
              <w:pStyle w:val="Tabelle"/>
            </w:pPr>
            <w:r>
              <w:t xml:space="preserve">Teilt den Schreibauftrag aus. Nach acht Minuten tauschen die Paare die Blätter und bewerten mit dem Raster.</w:t>
            </w:r>
          </w:p>
        </w:tc>
        <w:tc>
          <w:tcPr>
            <w:tcW w:w="2449" w:type="dxa"/>
          </w:tcPr>
          <w:p>
            <w:pPr>
              <w:pStyle w:val="Tabelle"/>
            </w:pPr>
            <w:r>
              <w:t xml:space="preserve">Schreiben Aufgabe 8: einen Auftrag für eine heikle Frage mit der Forderung nach Quellen, die sie selbst öffnen können.</w:t>
            </w:r>
          </w:p>
        </w:tc>
        <w:tc>
          <w:tcPr>
            <w:tcW w:w="2086" w:type="dxa"/>
          </w:tcPr>
          <w:p>
            <w:pPr>
              <w:pStyle w:val="Tabelle"/>
            </w:pPr>
            <w:r>
              <w:t xml:space="preserve">Schreibauftrag mit Bewertungsraster</w:t>
            </w:r>
          </w:p>
        </w:tc>
      </w:tr>
      <w:tr>
        <w:tc>
          <w:tcPr>
            <w:tcW w:w="726" w:type="dxa"/>
          </w:tcPr>
          <w:p>
            <w:pPr>
              <w:pStyle w:val="Tabelle"/>
            </w:pPr>
            <w:r>
              <w:t xml:space="preserve">80 bis 90</w:t>
            </w:r>
          </w:p>
        </w:tc>
        <w:tc>
          <w:tcPr>
            <w:tcW w:w="1361" w:type="dxa"/>
          </w:tcPr>
          <w:p>
            <w:pPr>
              <w:pStyle w:val="Tabelle"/>
            </w:pPr>
            <w:r>
              <w:rPr>
                <w:b/>
              </w:rPr>
              <w:t xml:space="preserve">Wiederholen</w:t>
            </w:r>
            <w:r>
              <w:t xml:space="preserve">, Partnerarbeit</w:t>
            </w:r>
          </w:p>
        </w:tc>
        <w:tc>
          <w:tcPr>
            <w:tcW w:w="2449" w:type="dxa"/>
          </w:tcPr>
          <w:p>
            <w:pPr>
              <w:pStyle w:val="Tabelle"/>
            </w:pPr>
            <w:r>
              <w:t xml:space="preserve">Teilt die Karteikarten aus, beidseitig gedruckt und ausgeschnitten.</w:t>
            </w:r>
          </w:p>
        </w:tc>
        <w:tc>
          <w:tcPr>
            <w:tcW w:w="2449" w:type="dxa"/>
          </w:tcPr>
          <w:p>
            <w:pPr>
              <w:pStyle w:val="Tabelle"/>
            </w:pPr>
            <w:r>
              <w:t xml:space="preserve">Fragen sich die Karten ab und legen falsch beantwortete zurück in den Stapel.</w:t>
            </w:r>
          </w:p>
        </w:tc>
        <w:tc>
          <w:tcPr>
            <w:tcW w:w="2086" w:type="dxa"/>
          </w:tcPr>
          <w:p>
            <w:pPr>
              <w:pStyle w:val="Tabelle"/>
            </w:pPr>
            <w:r>
              <w:t xml:space="preserve">Karteikarten</w:t>
            </w:r>
          </w:p>
        </w:tc>
      </w:tr>
    </w:tbl>
    <w:p/>
    <w:p>
      <w:pPr>
        <w:pStyle w:val="berschrift1"/>
      </w:pPr>
      <w:r>
        <w:t xml:space="preserve">Woran Sie sehen, dass das Ziel erreicht ist</w:t>
      </w:r>
    </w:p>
    <w:p>
      <w:r>
        <w:t xml:space="preserve">In einem vorgegebenen Beispieltext markiert jede Schülerin und jeder Schüler alle persönlichen Daten und schlägt eine Lücke vor.</w:t>
      </w:r>
    </w:p>
    <w:p>
      <w:pPr>
        <w:pStyle w:val="berschrift1"/>
      </w:pPr>
      <w:r>
        <w:t xml:space="preserve">Differenzierung</w:t>
      </w:r>
    </w:p>
    <w:p>
      <w:r>
        <w:rPr>
          <w:b/>
        </w:rPr>
        <w:t xml:space="preserve">Leichter:</w:t>
      </w:r>
      <w:r>
        <w:t xml:space="preserve"> Die Datensorten aus der Folie liegen als Liste bereit; die Klasse sucht nur nach diesen.</w:t>
      </w:r>
    </w:p>
    <w:p>
      <w:r>
        <w:rPr>
          <w:b/>
        </w:rPr>
        <w:t xml:space="preserve">Schwerer:</w:t>
      </w:r>
      <w:r>
        <w:t xml:space="preserve"> In den Einstellungen eines Dienstes nachsehen, ob Eingaben zum Training benutzt werden, und beschreiben, wo man das abschaltet.</w:t>
      </w:r>
    </w:p>
    <w:p>
      <w:pPr>
        <w:pStyle w:val="berschrift1"/>
      </w:pPr>
      <w:r>
        <w:t xml:space="preserve">Stolpersteine, eingeschätzt</w:t>
      </w:r>
    </w:p>
    <w:p>
      <w:pPr>
        <w:pStyle w:val="Aufzhlungszeichen"/>
      </w:pPr>
      <w:r>
        <w:t xml:space="preserve">•  Beim Praxisauftrag schreiben Schülerinnen und Schüler leicht echte Daten hinein, um den Test „echt“ zu machen. Vorher ausdrücklich sagen: nur ausgedachte Namen.</w:t>
      </w:r>
    </w:p>
    <w:p>
      <w:pPr>
        <w:pStyle w:val="Aufzhlungszeichen"/>
      </w:pPr>
      <w:r>
        <w:t xml:space="preserve">•  Die Stunde gibt keine Rechts- oder Gesundheitsauskunft. Kommt eine konkrete Frage aus der Klasse, auf Beratungsstellen verweisen und nicht im Plenum klären.</w:t>
      </w:r>
    </w:p>
    <w:p>
      <w:pPr>
        <w:pStyle w:val="berschrift1"/>
      </w:pPr>
      <w:r>
        <w:t xml:space="preserve">Lehrplan und Kompetenzen</w:t>
      </w:r>
    </w:p>
    <w:p>
      <w:r>
        <w:rPr>
          <w:b/>
        </w:rPr>
        <w:t xml:space="preserve">LehrplanPLUS Bayern</w:t>
      </w:r>
      <w:r>
        <w:t xml:space="preserve">, Gymnasium, Informatik 11 (NTG), Lernbereich 4: Künstliche Intelligenz, letzte Kompetenzerwartung</w:t>
      </w:r>
    </w:p>
    <w:p>
      <w:pPr>
        <w:pStyle w:val="Hinweis"/>
      </w:pPr>
      <w:r>
        <w:t xml:space="preserve">„Die Schülerinnen und Schüler … nehmen zu ausgewählten aktuellen Einsatzmöglichkeiten der Künstlichen Intelligenz Stellung und bewerten Chancen und Risiken für Individuum und Gesellschaft.“</w:t>
      </w:r>
    </w:p>
    <w:p>
      <w:r>
        <w:rPr>
          <w:b/>
        </w:rPr>
        <w:t xml:space="preserve">Anknüpfung:</w:t>
      </w:r>
      <w:r>
        <w:t xml:space="preserve"> Bewertet Risiken für den Einzelnen: falsche Auskünfte bei Gesundheit, Recht und Geld und die eigenen Daten im Chat.</w:t>
      </w:r>
    </w:p>
    <w:p>
      <w:pPr>
        <w:pStyle w:val="Hinweis"/>
      </w:pPr>
      <w:r>
        <w:t xml:space="preserve">Quelle: https://www.lehrplanplus.bayern.de/fachlehrplan/gymnasium/11/informatik/ntg, abgerufen am 28.09.2026</w:t>
      </w:r>
    </w:p>
    <w:p>
      <w:r>
        <w:rPr>
          <w:b/>
        </w:rPr>
        <w:t xml:space="preserve">KMK-Handlungsempfehlung KI</w:t>
      </w:r>
      <w:r>
        <w:t xml:space="preserve">, Handlungsempfehlung für die Bildungsverwaltung zum Umgang mit Künstlicher Intelligenz in schulischen Bildungsprozessen (10.10.2024), Themenbereich 1, S. 3</w:t>
      </w:r>
    </w:p>
    <w:p>
      <w:pPr>
        <w:pStyle w:val="Hinweis"/>
      </w:pPr>
      <w:r>
        <w:t xml:space="preserve">„Ein grundlegendes Verständnis der technischen Funktionsweisen sowie das Erkennen von Chancen, Grenzen und Risiken der neuen digitalen Möglichkeiten sind für einen verantwortungsbewussten und reflektierten Umgang sowie für einen lernförderlichen Einsatz im Unterricht und beim Lernen zu Hause unabdingbar.“</w:t>
      </w:r>
    </w:p>
    <w:p>
      <w:r>
        <w:rPr>
          <w:b/>
        </w:rPr>
        <w:t xml:space="preserve">Anknüpfung:</w:t>
      </w:r>
      <w:r>
        <w:t xml:space="preserve"> Grenzen und Risiken erkennen als Voraussetzung für einen verantwortungsbewussten Umgang.</w:t>
      </w:r>
    </w:p>
    <w:p>
      <w:pPr>
        <w:pStyle w:val="Hinweis"/>
      </w:pPr>
      <w:r>
        <w:t xml:space="preserve">Quelle: https://www.kmk.org/fileadmin/Dateien/veroeffentlichungen_beschluesse/2024/2024_10_10-Handlungsempfehlung-KI.pdf, abgerufen am 28.09.2026</w:t>
      </w:r>
    </w:p>
    <w:p>
      <w:r>
        <w:rPr>
          <w:b/>
        </w:rPr>
        <w:t xml:space="preserve">Offene Frage (LehrplanPLUS, andere Schularten):</w:t>
      </w:r>
      <w:r>
        <w:t xml:space="preserve"> Passt die Stunde in die Lehrpläne der Mittelschule, der Realschule oder der beruflichen Schulen, etwa in Deutsch oder in ein Fach mit Medienbildung? Dort ist nicht nachgesehen worden.</w:t>
      </w:r>
    </w:p>
    <w:p>
      <w:r>
        <w:rPr>
          <w:b/>
        </w:rPr>
        <w:t xml:space="preserve">Kompetenzrahmen</w:t>
      </w:r>
      <w:r>
        <w:t xml:space="preserve"> (Erstzuordnung, nicht von einer Lehrkraft geprüft; die deutschen Titel sind eine eigene Arbeitsübersetzung):</w:t>
      </w:r>
    </w:p>
    <w:p>
      <w:pPr>
        <w:pStyle w:val="Aufzhlungszeichen"/>
      </w:pPr>
      <w:r>
        <w:t xml:space="preserve">•  AILit Engage with AI 3: Beurteilen, ob KI-Ausgaben übernommen, überarbeitet oder verworfen werden.</w:t>
      </w:r>
    </w:p>
    <w:p>
      <w:pPr>
        <w:pStyle w:val="Aufzhlungszeichen"/>
      </w:pPr>
      <w:r>
        <w:t xml:space="preserve">•  AILit Manage AI 1: Nach Art der Aufgabe entscheiden, ob KI eingesetzt wird.</w:t>
      </w:r>
    </w:p>
    <w:p>
      <w:pPr>
        <w:pStyle w:val="Aufzhlungszeichen"/>
      </w:pPr>
      <w:r>
        <w:t xml:space="preserve">•  DigComp 3.0 1.2: Informationen bewerten</w:t>
      </w:r>
    </w:p>
    <w:p>
      <w:pPr>
        <w:pStyle w:val="Aufzhlungszeichen"/>
      </w:pPr>
      <w:r>
        <w:t xml:space="preserve">•  DigComp 3.0 4.2: Personenbezogene Daten und Privatsphäre schützen</w:t>
      </w:r>
    </w:p>
    <w:p>
      <w:pPr>
        <w:pStyle w:val="Hinweis"/>
      </w:pPr>
      <w:r>
        <w:t xml:space="preserve">Stand 28.09.2026 · Dieses Material darf für den eigenen Unterricht kopiert und ausgeteilt werden. Verkaufen oder auf anderen Plattformen anbieten ist nicht erlaubt. · schule.klenna.de</w:t>
      </w:r>
    </w:p>
    <w:p>
      <w:r>
        <w:br w:type="page"/>
      </w:r>
    </w:p>
    <w:p>
      <w:pPr>
        <w:pStyle w:val="Hinweis"/>
      </w:pPr>
      <w:r>
        <w:rPr>
          <w:b/>
        </w:rPr>
        <w:t xml:space="preserve">Einstiegsfolie, als Gliederung</w:t>
      </w:r>
    </w:p>
    <w:p>
      <w:pPr>
        <w:pStyle w:val="Titel"/>
      </w:pPr>
      <w:r>
        <w:t xml:space="preserve">Würdest du das auf eine Postkarte schreiben?</w:t>
      </w:r>
    </w:p>
    <w:p>
      <w:pPr>
        <w:pStyle w:val="Aufzhlungszeichen"/>
      </w:pPr>
      <w:r>
        <w:t xml:space="preserve">•  Name, Adresse, Geburtsdatum</w:t>
      </w:r>
    </w:p>
    <w:p>
      <w:pPr>
        <w:pStyle w:val="Aufzhlungszeichen"/>
      </w:pPr>
      <w:r>
        <w:t xml:space="preserve">•  Kontonummer</w:t>
      </w:r>
    </w:p>
    <w:p>
      <w:pPr>
        <w:pStyle w:val="Aufzhlungszeichen"/>
      </w:pPr>
      <w:r>
        <w:t xml:space="preserve">•  Krankheit</w:t>
      </w:r>
    </w:p>
    <w:p>
      <w:pPr>
        <w:pStyle w:val="Aufzhlungszeichen"/>
      </w:pPr>
      <w:r>
        <w:t xml:space="preserve">•  Streit mit einer echten Person</w:t>
      </w:r>
    </w:p>
    <w:p>
      <w:r>
        <w:rPr>
          <w:b/>
        </w:rPr>
        <w:t xml:space="preserve">Was davon hast du schon einmal in einen Chat geschrieben?</w:t>
      </w:r>
    </w:p>
    <w:p>
      <w:pPr>
        <w:pStyle w:val="berschrift2"/>
      </w:pPr>
      <w:r>
        <w:t xml:space="preserve">Für Sie, nicht für die Wand</w:t>
      </w:r>
    </w:p>
    <w:p>
      <w:r>
        <w:t xml:space="preserve">Nicht einzeln abfragen, niemand soll etwas preisgeben. Die Frage reicht als Denkanstoß; die Postkarte ist das Bild der Stunde.</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Arial" w:hAnsi="Arial" w:eastAsia="Arial" w:cs="Arial"/>
        <w:sz w:val="22"/>
        <w:szCs w:val="22"/>
        <w:lang w:val="de-DE"/>
      </w:rPr>
    </w:rPrDefault>
    <w:pPrDefault>
      <w:pPr>
        <w:spacing w:after="120" w:line="276" w:lineRule="auto"/>
      </w:pPr>
    </w:pPrDefault>
  </w:docDefaults>
  <w:style w:type="paragraph" w:default="1" w:styleId="Standard">
    <w:name w:val="Normal"/>
    <w:qFormat/>
    <w:rPr>
      <w:rFonts w:ascii="Arial" w:hAnsi="Arial" w:eastAsia="Arial" w:cs="Arial"/>
      <w:sz w:val="22"/>
      <w:szCs w:val="22"/>
    </w:rPr>
  </w:style>
  <w:style w:type="paragraph" w:styleId="Titel">
    <w:name w:val="Title"/>
    <w:basedOn w:val="Standard"/>
    <w:next w:val="Standard"/>
    <w:qFormat/>
    <w:pPr>
      <w:spacing w:after="80"/>
    </w:pPr>
    <w:rPr>
      <w:b/>
      <w:sz w:val="40"/>
      <w:szCs w:val="40"/>
    </w:rPr>
  </w:style>
  <w:style w:type="paragraph" w:styleId="berschrift1">
    <w:name w:val="heading 1"/>
    <w:basedOn w:val="Standard"/>
    <w:next w:val="Standard"/>
    <w:qFormat/>
    <w:pPr>
      <w:keepNext/>
      <w:spacing w:before="240" w:after="80"/>
      <w:outlineLvl w:val="0"/>
    </w:pPr>
    <w:rPr>
      <w:b/>
      <w:sz w:val="28"/>
      <w:szCs w:val="28"/>
    </w:rPr>
  </w:style>
  <w:style w:type="paragraph" w:styleId="berschrift2">
    <w:name w:val="heading 2"/>
    <w:basedOn w:val="Standard"/>
    <w:next w:val="Standard"/>
    <w:qFormat/>
    <w:pPr>
      <w:keepNext/>
      <w:spacing w:before="160" w:after="60"/>
      <w:outlineLvl w:val="1"/>
    </w:pPr>
    <w:rPr>
      <w:b/>
      <w:sz w:val="24"/>
      <w:szCs w:val="24"/>
    </w:rPr>
  </w:style>
  <w:style w:type="paragraph" w:styleId="Aufzhlungszeichen">
    <w:name w:val="List Bullet"/>
    <w:basedOn w:val="Standard"/>
    <w:next w:val="Standard"/>
    <w:pPr>
      <w:ind w:left="360" w:hanging="240"/>
      <w:spacing w:after="60"/>
    </w:pPr>
    <w:rPr/>
  </w:style>
  <w:style w:type="paragraph" w:styleId="Hinweis">
    <w:name w:val="Hinweis"/>
    <w:basedOn w:val="Standard"/>
    <w:next w:val="Standard"/>
    <w:qFormat/>
    <w:pPr>
      <w:spacing w:after="80"/>
    </w:pPr>
    <w:rPr>
      <w:color w:val="474747"/>
      <w:sz w:val="20"/>
      <w:szCs w:val="20"/>
    </w:rPr>
  </w:style>
  <w:style w:type="paragraph" w:styleId="Tabelle">
    <w:name w:val="Tabelle"/>
    <w:basedOn w:val="Standard"/>
    <w:next w:val="Standard"/>
    <w:pPr>
      <w:spacing w:after="0" w:line="240" w:lineRule="auto"/>
    </w:pPr>
    <w:rPr>
      <w:sz w:val="20"/>
      <w:szCs w:val="20"/>
    </w:rPr>
  </w:style>
  <w:style w:type="table" w:styleId="Tabellengitter">
    <w:name w:val="Table Grid"/>
    <w:tblP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CellMar>
        <w:top w:w="60" w:type="dxa"/>
        <w:left w:w="100" w:type="dxa"/>
        <w:bottom w:w="6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dc:title>Stundenentwurf: Wo du besser die Finger weglässt</dc:title>
  <dc:creator>Klenna</dc:creator>
  <dc:language>de-DE</dc:language>
</cp:coreProperties>
</file>