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Hinweis"/>
      </w:pPr>
      <w:r>
        <w:rPr>
          <w:b/>
        </w:rPr>
        <w:t xml:space="preserve">Stundenentwurf</w:t>
      </w:r>
    </w:p>
    <w:p>
      <w:pPr>
        <w:pStyle w:val="Titel"/>
      </w:pPr>
      <w:r>
        <w:t xml:space="preserve">Dein erster richtiger Prompt</w:t>
      </w:r>
    </w:p>
    <w:p>
      <w:pPr>
        <w:pStyle w:val="Hinweis"/>
      </w:pPr>
      <w:r>
        <w:t xml:space="preserve">Zur Lektion „Dein erster richtiger Prompt“ · Kurs Einstieg · Kapitel 1: Erste Schritte · Lektion 2 · 45 Minuten, als Doppelstunde 90 · KI-Zugang hilfreich, nicht nötig</w:t>
      </w:r>
    </w:p>
    <w:p>
      <w:r>
        <w:rPr>
          <w:b/>
        </w:rPr>
        <w:t xml:space="preserve">Entwurf: noch nicht fachlich geprüft.</w:t>
      </w:r>
      <w:r>
        <w:t xml:space="preserve"> Dieses Material ist ein Entwurf. Es wurde noch von keiner Lehrkraft fachlich geprüft oder im Unterricht erprobt. Bitte lesen Sie es vor dem Einsatz selbst und passen Sie es an Ihre Klasse an.</w:t>
      </w:r>
    </w:p>
    <w:p>
      <w:r>
        <w:rPr>
          <w:b/>
        </w:rPr>
        <w:t xml:space="preserve">Lernziel:</w:t>
      </w:r>
      <w:r>
        <w:t xml:space="preserve"> Die Schülerinnen und Schüler formulieren einen Auftrag an eine KI mit Aufgabe, eigenem Fall, Format und einer Grenze, sodass die erste Antwort brauchbar ist.</w:t>
      </w:r>
    </w:p>
    <w:p>
      <w:r>
        <w:rPr>
          <w:b/>
        </w:rPr>
        <w:t xml:space="preserve">Vorwissen:</w:t>
      </w:r>
      <w:r>
        <w:t xml:space="preserve"> Die Stunde „Was ist eine KI überhaupt?“ oder eigene Erfahrung mit einem KI-Chat.</w:t>
      </w:r>
    </w:p>
    <w:p>
      <w:pPr>
        <w:pStyle w:val="berschrift1"/>
      </w:pPr>
      <w:r>
        <w:t xml:space="preserve">Material</w:t>
      </w:r>
    </w:p>
    <w:p>
      <w:pPr>
        <w:pStyle w:val="Aufzhlungszeichen"/>
      </w:pPr>
      <w:r>
        <w:t xml:space="preserve">•  Einstiegsfolie, als Gliederung auf der letzten Seite</w:t>
      </w:r>
    </w:p>
    <w:p>
      <w:pPr>
        <w:pStyle w:val="Aufzhlungszeichen"/>
      </w:pPr>
      <w:r>
        <w:t xml:space="preserve">•  Arbeitsblatt mit Lösungsbogen, aus derselben Lektion</w:t>
      </w:r>
    </w:p>
    <w:p>
      <w:pPr>
        <w:pStyle w:val="Aufzhlungszeichen"/>
      </w:pPr>
      <w:r>
        <w:t xml:space="preserve">•  Praxisauftrag, aus derselben Lektion</w:t>
      </w:r>
    </w:p>
    <w:p>
      <w:pPr>
        <w:pStyle w:val="Aufzhlungszeichen"/>
      </w:pPr>
      <w:r>
        <w:t xml:space="preserve">•  Schreibauftrag mit Bewertungsraster, aus derselben Lektion</w:t>
      </w:r>
    </w:p>
    <w:p>
      <w:pPr>
        <w:pStyle w:val="Aufzhlungszeichen"/>
      </w:pPr>
      <w:r>
        <w:t xml:space="preserve">•  Karteikarten, aus derselben Lektion</w:t>
      </w:r>
    </w:p>
    <w:p>
      <w:pPr>
        <w:pStyle w:val="berschrift1"/>
      </w:pPr>
      <w:r>
        <w:t xml:space="preserve">Ablauf der Einzelstunde,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0 bis 6</w:t>
            </w:r>
          </w:p>
        </w:tc>
        <w:tc>
          <w:tcPr>
            <w:tcW w:w="1361" w:type="dxa"/>
          </w:tcPr>
          <w:p>
            <w:pPr>
              <w:pStyle w:val="Tabelle"/>
            </w:pPr>
            <w:r>
              <w:rPr>
                <w:b/>
              </w:rPr>
              <w:t xml:space="preserve">Einstieg</w:t>
            </w:r>
            <w:r>
              <w:t xml:space="preserve">, Plenum</w:t>
            </w:r>
          </w:p>
        </w:tc>
        <w:tc>
          <w:tcPr>
            <w:tcW w:w="2449" w:type="dxa"/>
          </w:tcPr>
          <w:p>
            <w:pPr>
              <w:pStyle w:val="Tabelle"/>
            </w:pPr>
            <w:r>
              <w:t xml:space="preserve">Zeigt den Satz auf der Folie und fragt nach fehlenden Angaben; deckt danach die vier Fragen auf.</w:t>
            </w:r>
          </w:p>
        </w:tc>
        <w:tc>
          <w:tcPr>
            <w:tcW w:w="2449" w:type="dxa"/>
          </w:tcPr>
          <w:p>
            <w:pPr>
              <w:pStyle w:val="Tabelle"/>
            </w:pPr>
            <w:r>
              <w:t xml:space="preserve">Nennen, was der Auftrag offenlässt.</w:t>
            </w:r>
          </w:p>
        </w:tc>
        <w:tc>
          <w:tcPr>
            <w:tcW w:w="2086" w:type="dxa"/>
          </w:tcPr>
          <w:p>
            <w:pPr>
              <w:pStyle w:val="Tabelle"/>
            </w:pPr>
            <w:r>
              <w:t xml:space="preserve">Einstiegsfolie</w:t>
            </w:r>
          </w:p>
        </w:tc>
      </w:tr>
      <w:tr>
        <w:tc>
          <w:tcPr>
            <w:tcW w:w="726" w:type="dxa"/>
          </w:tcPr>
          <w:p>
            <w:pPr>
              <w:pStyle w:val="Tabelle"/>
            </w:pPr>
            <w:r>
              <w:t xml:space="preserve">6 bis 20</w:t>
            </w:r>
          </w:p>
        </w:tc>
        <w:tc>
          <w:tcPr>
            <w:tcW w:w="1361" w:type="dxa"/>
          </w:tcPr>
          <w:p>
            <w:pPr>
              <w:pStyle w:val="Tabelle"/>
            </w:pPr>
            <w:r>
              <w:rPr>
                <w:b/>
              </w:rPr>
              <w:t xml:space="preserve">Erarbeitung I</w:t>
            </w:r>
            <w:r>
              <w:t xml:space="preserve">, Einzelarbeit</w:t>
            </w:r>
          </w:p>
        </w:tc>
        <w:tc>
          <w:tcPr>
            <w:tcW w:w="2449" w:type="dxa"/>
          </w:tcPr>
          <w:p>
            <w:pPr>
              <w:pStyle w:val="Tabelle"/>
            </w:pPr>
            <w:r>
              <w:t xml:space="preserve">Teilt das Arbeitsblatt aus. Achtet bei Aufgabe 4 darauf, dass die Reihenfolge begründet wird.</w:t>
            </w:r>
          </w:p>
        </w:tc>
        <w:tc>
          <w:tcPr>
            <w:tcW w:w="2449" w:type="dxa"/>
          </w:tcPr>
          <w:p>
            <w:pPr>
              <w:pStyle w:val="Tabelle"/>
            </w:pPr>
            <w:r>
              <w:t xml:space="preserve">Lesen „Die vier Teile“ und „Das Format entscheidet mit“ und lösen die Aufgaben 1 bis 4.</w:t>
            </w:r>
          </w:p>
        </w:tc>
        <w:tc>
          <w:tcPr>
            <w:tcW w:w="2086" w:type="dxa"/>
          </w:tcPr>
          <w:p>
            <w:pPr>
              <w:pStyle w:val="Tabelle"/>
            </w:pPr>
            <w:r>
              <w:t xml:space="preserve">Arbeitsblatt mit Lösungsbogen</w:t>
            </w:r>
          </w:p>
        </w:tc>
      </w:tr>
      <w:tr>
        <w:tc>
          <w:tcPr>
            <w:tcW w:w="726" w:type="dxa"/>
          </w:tcPr>
          <w:p>
            <w:pPr>
              <w:pStyle w:val="Tabelle"/>
            </w:pPr>
            <w:r>
              <w:t xml:space="preserve">20 bis 35</w:t>
            </w:r>
          </w:p>
        </w:tc>
        <w:tc>
          <w:tcPr>
            <w:tcW w:w="1361" w:type="dxa"/>
          </w:tcPr>
          <w:p>
            <w:pPr>
              <w:pStyle w:val="Tabelle"/>
            </w:pPr>
            <w:r>
              <w:rPr>
                <w:b/>
              </w:rPr>
              <w:t xml:space="preserve">Erarbeitung II</w:t>
            </w:r>
            <w:r>
              <w:t xml:space="preserve">, Partnerarbeit</w:t>
            </w:r>
          </w:p>
        </w:tc>
        <w:tc>
          <w:tcPr>
            <w:tcW w:w="2449" w:type="dxa"/>
          </w:tcPr>
          <w:p>
            <w:pPr>
              <w:pStyle w:val="Tabelle"/>
            </w:pPr>
            <w:r>
              <w:t xml:space="preserve">Lässt die Paare die Aufgaben 5 bis 7 lösen und die Lösung zu Aufgabe 7 laut vorlesen.</w:t>
            </w:r>
          </w:p>
        </w:tc>
        <w:tc>
          <w:tcPr>
            <w:tcW w:w="2449" w:type="dxa"/>
          </w:tcPr>
          <w:p>
            <w:pPr>
              <w:pStyle w:val="Tabelle"/>
            </w:pPr>
            <w:r>
              <w:t xml:space="preserve">Lesen „Sag auch, was du nicht willst“ und lösen die Aufgaben 5 bis 7.</w:t>
            </w:r>
          </w:p>
        </w:tc>
        <w:tc>
          <w:tcPr>
            <w:tcW w:w="2086" w:type="dxa"/>
          </w:tcPr>
          <w:p>
            <w:pPr>
              <w:pStyle w:val="Tabelle"/>
            </w:pPr>
            <w:r>
              <w:t xml:space="preserve">Arbeitsblatt mit Lösungsbogen</w:t>
            </w:r>
          </w:p>
        </w:tc>
      </w:tr>
      <w:tr>
        <w:tc>
          <w:tcPr>
            <w:tcW w:w="726" w:type="dxa"/>
          </w:tcPr>
          <w:p>
            <w:pPr>
              <w:pStyle w:val="Tabelle"/>
            </w:pPr>
            <w:r>
              <w:t xml:space="preserve">35 bis 45</w:t>
            </w:r>
          </w:p>
        </w:tc>
        <w:tc>
          <w:tcPr>
            <w:tcW w:w="1361" w:type="dxa"/>
          </w:tcPr>
          <w:p>
            <w:pPr>
              <w:pStyle w:val="Tabelle"/>
            </w:pPr>
            <w:r>
              <w:rPr>
                <w:b/>
              </w:rPr>
              <w:t xml:space="preserve">Sicherung</w:t>
            </w:r>
            <w:r>
              <w:t xml:space="preserve">, Plenum</w:t>
            </w:r>
          </w:p>
        </w:tc>
        <w:tc>
          <w:tcPr>
            <w:tcW w:w="2449" w:type="dxa"/>
          </w:tcPr>
          <w:p>
            <w:pPr>
              <w:pStyle w:val="Tabelle"/>
            </w:pPr>
            <w:r>
              <w:t xml:space="preserve">Schreibt die vier Teile an die Tafel und lässt zu jedem ein Beispiel aus der Klasse nennen.</w:t>
            </w:r>
          </w:p>
        </w:tc>
        <w:tc>
          <w:tcPr>
            <w:tcW w:w="2449" w:type="dxa"/>
          </w:tcPr>
          <w:p>
            <w:pPr>
              <w:pStyle w:val="Tabelle"/>
            </w:pPr>
            <w:r>
              <w:t xml:space="preserve">Übertragen die vier Teile mit je einem eigenen Beispiel ins Heft.</w:t>
            </w:r>
          </w:p>
        </w:tc>
        <w:tc>
          <w:tcPr>
            <w:tcW w:w="2086" w:type="dxa"/>
          </w:tcPr>
          <w:p>
            <w:pPr>
              <w:pStyle w:val="Tabelle"/>
            </w:pPr>
            <w:r>
              <w:t xml:space="preserve">Arbeitsblatt mit Lösungsbogen</w:t>
            </w:r>
          </w:p>
        </w:tc>
      </w:tr>
    </w:tbl>
    <w:p/>
    <w:p>
      <w:pPr>
        <w:pStyle w:val="berschrift1"/>
      </w:pPr>
      <w:r>
        <w:t xml:space="preserve">Erweiterung zur Doppelstunde, weitere 45 Minuten</w:t>
      </w:r>
    </w:p>
    <w:tbl>
      <w:tblPr>
        <w:tblStyle w:val="Tabellengitter"/>
        <w:tblW w:w="9070" w:type="dxa"/>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Layout w:type="fixed"/>
      </w:tblPr>
      <w:tblGrid>
        <w:gridCol w:w="726"/>
        <w:gridCol w:w="1361"/>
        <w:gridCol w:w="2449"/>
        <w:gridCol w:w="2449"/>
        <w:gridCol w:w="2086"/>
      </w:tblGrid>
      <w:tr>
        <w:trPr>
          <w:tblHeader/>
        </w:trPr>
        <w:tc>
          <w:tcPr>
            <w:tcW w:w="726" w:type="dxa"/>
            <w:shd w:val="clear" w:color="auto" w:fill="EEEEEE"/>
          </w:tcPr>
          <w:p>
            <w:pPr>
              <w:pStyle w:val="Tabelle"/>
            </w:pPr>
            <w:r>
              <w:rPr>
                <w:b/>
              </w:rPr>
              <w:t xml:space="preserve">Minute</w:t>
            </w:r>
          </w:p>
        </w:tc>
        <w:tc>
          <w:tcPr>
            <w:tcW w:w="1361" w:type="dxa"/>
            <w:shd w:val="clear" w:color="auto" w:fill="EEEEEE"/>
          </w:tcPr>
          <w:p>
            <w:pPr>
              <w:pStyle w:val="Tabelle"/>
            </w:pPr>
            <w:r>
              <w:rPr>
                <w:b/>
              </w:rPr>
              <w:t xml:space="preserve">Phase</w:t>
            </w:r>
          </w:p>
        </w:tc>
        <w:tc>
          <w:tcPr>
            <w:tcW w:w="2449" w:type="dxa"/>
            <w:shd w:val="clear" w:color="auto" w:fill="EEEEEE"/>
          </w:tcPr>
          <w:p>
            <w:pPr>
              <w:pStyle w:val="Tabelle"/>
            </w:pPr>
            <w:r>
              <w:rPr>
                <w:b/>
              </w:rPr>
              <w:t xml:space="preserve">Lehrkraft</w:t>
            </w:r>
          </w:p>
        </w:tc>
        <w:tc>
          <w:tcPr>
            <w:tcW w:w="2449" w:type="dxa"/>
            <w:shd w:val="clear" w:color="auto" w:fill="EEEEEE"/>
          </w:tcPr>
          <w:p>
            <w:pPr>
              <w:pStyle w:val="Tabelle"/>
            </w:pPr>
            <w:r>
              <w:rPr>
                <w:b/>
              </w:rPr>
              <w:t xml:space="preserve">Klasse</w:t>
            </w:r>
          </w:p>
        </w:tc>
        <w:tc>
          <w:tcPr>
            <w:tcW w:w="2086" w:type="dxa"/>
            <w:shd w:val="clear" w:color="auto" w:fill="EEEEEE"/>
          </w:tcPr>
          <w:p>
            <w:pPr>
              <w:pStyle w:val="Tabelle"/>
            </w:pPr>
            <w:r>
              <w:rPr>
                <w:b/>
              </w:rPr>
              <w:t xml:space="preserve">Material</w:t>
            </w:r>
          </w:p>
        </w:tc>
      </w:tr>
      <w:tr>
        <w:tc>
          <w:tcPr>
            <w:tcW w:w="726" w:type="dxa"/>
          </w:tcPr>
          <w:p>
            <w:pPr>
              <w:pStyle w:val="Tabelle"/>
            </w:pPr>
            <w:r>
              <w:t xml:space="preserve">45 bis 65</w:t>
            </w:r>
          </w:p>
        </w:tc>
        <w:tc>
          <w:tcPr>
            <w:tcW w:w="1361" w:type="dxa"/>
          </w:tcPr>
          <w:p>
            <w:pPr>
              <w:pStyle w:val="Tabelle"/>
            </w:pPr>
            <w:r>
              <w:rPr>
                <w:b/>
              </w:rPr>
              <w:t xml:space="preserve">Anwendung mit KI</w:t>
            </w:r>
            <w:r>
              <w:t xml:space="preserve">, Partnerarbeit</w:t>
            </w:r>
          </w:p>
        </w:tc>
        <w:tc>
          <w:tcPr>
            <w:tcW w:w="2449" w:type="dxa"/>
          </w:tcPr>
          <w:p>
            <w:pPr>
              <w:pStyle w:val="Tabelle"/>
            </w:pPr>
            <w:r>
              <w:t xml:space="preserve">Teilt den Praxisauftrag aus und nennt die an der Schule erlaubte KI. Ist an der Schule keine KI freigegeben, führt die Lehrkraft den Auftrag am Beamer vor, und die Klasse sagt an, was hineingeschrieben wird.</w:t>
            </w:r>
          </w:p>
        </w:tc>
        <w:tc>
          <w:tcPr>
            <w:tcW w:w="2449" w:type="dxa"/>
          </w:tcPr>
          <w:p>
            <w:pPr>
              <w:pStyle w:val="Tabelle"/>
            </w:pPr>
            <w:r>
              <w:t xml:space="preserve">Bauen den Auftrag aus dem Praxisauftrag für eine Nachricht, die sie wirklich schreiben müssen, und vergleichen die Antwort mit dem, was sie brauchen.</w:t>
            </w:r>
          </w:p>
        </w:tc>
        <w:tc>
          <w:tcPr>
            <w:tcW w:w="2086" w:type="dxa"/>
          </w:tcPr>
          <w:p>
            <w:pPr>
              <w:pStyle w:val="Tabelle"/>
            </w:pPr>
            <w:r>
              <w:t xml:space="preserve">Praxisauftrag</w:t>
            </w:r>
          </w:p>
        </w:tc>
      </w:tr>
      <w:tr>
        <w:tc>
          <w:tcPr>
            <w:tcW w:w="726" w:type="dxa"/>
          </w:tcPr>
          <w:p>
            <w:pPr>
              <w:pStyle w:val="Tabelle"/>
            </w:pPr>
            <w:r>
              <w:t xml:space="preserve">65 bis 80</w:t>
            </w:r>
          </w:p>
        </w:tc>
        <w:tc>
          <w:tcPr>
            <w:tcW w:w="1361" w:type="dxa"/>
          </w:tcPr>
          <w:p>
            <w:pPr>
              <w:pStyle w:val="Tabelle"/>
            </w:pPr>
            <w:r>
              <w:rPr>
                <w:b/>
              </w:rPr>
              <w:t xml:space="preserve">Schreiben und gegenlesen</w:t>
            </w:r>
            <w:r>
              <w:t xml:space="preserve">, Partnerarbeit</w:t>
            </w:r>
          </w:p>
        </w:tc>
        <w:tc>
          <w:tcPr>
            <w:tcW w:w="2449" w:type="dxa"/>
          </w:tcPr>
          <w:p>
            <w:pPr>
              <w:pStyle w:val="Tabelle"/>
            </w:pPr>
            <w:r>
              <w:t xml:space="preserve">Teilt den Schreibauftrag aus. Nach acht Minuten tauschen die Paare die Blätter und bewerten mit dem Raster.</w:t>
            </w:r>
          </w:p>
        </w:tc>
        <w:tc>
          <w:tcPr>
            <w:tcW w:w="2449" w:type="dxa"/>
          </w:tcPr>
          <w:p>
            <w:pPr>
              <w:pStyle w:val="Tabelle"/>
            </w:pPr>
            <w:r>
              <w:t xml:space="preserve">Schreiben Aufgabe 8 als Vorlage mit Lücken in eckigen Klammern und prüfen gegenseitig, ob eine Längenangabe und die Regel gegen erfundene Angaben drinstehen.</w:t>
            </w:r>
          </w:p>
        </w:tc>
        <w:tc>
          <w:tcPr>
            <w:tcW w:w="2086" w:type="dxa"/>
          </w:tcPr>
          <w:p>
            <w:pPr>
              <w:pStyle w:val="Tabelle"/>
            </w:pPr>
            <w:r>
              <w:t xml:space="preserve">Schreibauftrag mit Bewertungsraster</w:t>
            </w:r>
          </w:p>
        </w:tc>
      </w:tr>
      <w:tr>
        <w:tc>
          <w:tcPr>
            <w:tcW w:w="726" w:type="dxa"/>
          </w:tcPr>
          <w:p>
            <w:pPr>
              <w:pStyle w:val="Tabelle"/>
            </w:pPr>
            <w:r>
              <w:t xml:space="preserve">80 bis 90</w:t>
            </w:r>
          </w:p>
        </w:tc>
        <w:tc>
          <w:tcPr>
            <w:tcW w:w="1361" w:type="dxa"/>
          </w:tcPr>
          <w:p>
            <w:pPr>
              <w:pStyle w:val="Tabelle"/>
            </w:pPr>
            <w:r>
              <w:rPr>
                <w:b/>
              </w:rPr>
              <w:t xml:space="preserve">Wiederholen</w:t>
            </w:r>
            <w:r>
              <w:t xml:space="preserve">, Partnerarbeit</w:t>
            </w:r>
          </w:p>
        </w:tc>
        <w:tc>
          <w:tcPr>
            <w:tcW w:w="2449" w:type="dxa"/>
          </w:tcPr>
          <w:p>
            <w:pPr>
              <w:pStyle w:val="Tabelle"/>
            </w:pPr>
            <w:r>
              <w:t xml:space="preserve">Teilt die Karteikarten aus, beidseitig gedruckt und ausgeschnitten.</w:t>
            </w:r>
          </w:p>
        </w:tc>
        <w:tc>
          <w:tcPr>
            <w:tcW w:w="2449" w:type="dxa"/>
          </w:tcPr>
          <w:p>
            <w:pPr>
              <w:pStyle w:val="Tabelle"/>
            </w:pPr>
            <w:r>
              <w:t xml:space="preserve">Legen die Karten verdeckt aus und ziehen abwechselnd.</w:t>
            </w:r>
          </w:p>
        </w:tc>
        <w:tc>
          <w:tcPr>
            <w:tcW w:w="2086" w:type="dxa"/>
          </w:tcPr>
          <w:p>
            <w:pPr>
              <w:pStyle w:val="Tabelle"/>
            </w:pPr>
            <w:r>
              <w:t xml:space="preserve">Karteikarten</w:t>
            </w:r>
          </w:p>
        </w:tc>
      </w:tr>
    </w:tbl>
    <w:p/>
    <w:p>
      <w:pPr>
        <w:pStyle w:val="berschrift1"/>
      </w:pPr>
      <w:r>
        <w:t xml:space="preserve">Woran Sie sehen, dass das Ziel erreicht ist</w:t>
      </w:r>
    </w:p>
    <w:p>
      <w:r>
        <w:t xml:space="preserve">Ein Auftrag aus der Stunde enthält Aufgabe, Fall, Format und eine Grenze; der Partner kann jeden Teil darin markieren.</w:t>
      </w:r>
    </w:p>
    <w:p>
      <w:pPr>
        <w:pStyle w:val="berschrift1"/>
      </w:pPr>
      <w:r>
        <w:t xml:space="preserve">Differenzierung</w:t>
      </w:r>
    </w:p>
    <w:p>
      <w:r>
        <w:rPr>
          <w:b/>
        </w:rPr>
        <w:t xml:space="preserve">Leichter:</w:t>
      </w:r>
      <w:r>
        <w:t xml:space="preserve"> Ein Satzgerüst an der Tafel: „Schreib … für … in … Wörtern. Lass … weg.“</w:t>
      </w:r>
    </w:p>
    <w:p>
      <w:r>
        <w:rPr>
          <w:b/>
        </w:rPr>
        <w:t xml:space="preserve">Schwerer:</w:t>
      </w:r>
      <w:r>
        <w:t xml:space="preserve"> Denselben Auftrag für zwei verschiedene Empfänger schreiben und erklären, welche Teile sich ändern.</w:t>
      </w:r>
    </w:p>
    <w:p>
      <w:pPr>
        <w:pStyle w:val="berschrift1"/>
      </w:pPr>
      <w:r>
        <w:t xml:space="preserve">Stolpersteine, eingeschätzt</w:t>
      </w:r>
    </w:p>
    <w:p>
      <w:pPr>
        <w:pStyle w:val="Aufzhlungszeichen"/>
      </w:pPr>
      <w:r>
        <w:t xml:space="preserve">•  Lange Aufträge gelten schnell als gute Aufträge. Der Text „Sag auch, was du nicht willst“ sagt, dass zehn Verbote den Ton kosten; das ausdrücklich besprechen.</w:t>
      </w:r>
    </w:p>
    <w:p>
      <w:pPr>
        <w:pStyle w:val="Aufzhlungszeichen"/>
      </w:pPr>
      <w:r>
        <w:t xml:space="preserve">•  Beispiele aus dem Arbeitsblatt drehen sich um Studium und Beruf. Für jüngere Klassen eigene Anlässe sammeln: Nachricht an den Trainer, Entschuldigung an die Lehrkraft.</w:t>
      </w:r>
    </w:p>
    <w:p>
      <w:pPr>
        <w:pStyle w:val="berschrift1"/>
      </w:pPr>
      <w:r>
        <w:t xml:space="preserve">Lehrplan und Kompetenzen</w:t>
      </w:r>
    </w:p>
    <w:p>
      <w:r>
        <w:rPr>
          <w:b/>
        </w:rPr>
        <w:t xml:space="preserve">Offene Frage (LehrplanPLUS):</w:t>
      </w:r>
      <w:r>
        <w:t xml:space="preserve"> Für das adressatengerechte Schreiben eines Auftrags ist kein Lehrplanbezug nachgesehen. Knüpft die Stunde an eine Kompetenzerwartung im Fach Deutsch an, etwa zum Schreiben für einen Adressaten?</w:t>
      </w:r>
    </w:p>
    <w:p>
      <w:r>
        <w:rPr>
          <w:b/>
        </w:rPr>
        <w:t xml:space="preserve">Offene Frage (LehrplanPLUS, andere Schularten):</w:t>
      </w:r>
      <w:r>
        <w:t xml:space="preserve"> Passt die Stunde in die Lehrpläne der Mittelschule, der Realschule oder der beruflichen Schulen, etwa in Deutsch oder in ein Fach mit Medienbildung? Dort ist nicht nachgesehen worden.</w:t>
      </w:r>
    </w:p>
    <w:p>
      <w:r>
        <w:rPr>
          <w:b/>
        </w:rPr>
        <w:t xml:space="preserve">Kompetenzrahmen</w:t>
      </w:r>
      <w:r>
        <w:t xml:space="preserve"> (Erstzuordnung, nicht von einer Lehrkraft geprüft; die deutschen Titel sind eine eigene Arbeitsübersetzung):</w:t>
      </w:r>
    </w:p>
    <w:p>
      <w:pPr>
        <w:pStyle w:val="Aufzhlungszeichen"/>
      </w:pPr>
      <w:r>
        <w:t xml:space="preserve">•  AILit Create with AI 3: Generative KI so steuern, dass sie Rückmeldung gibt, Ergebnisse verbessert und das Nachdenken unterstützt.</w:t>
      </w:r>
    </w:p>
    <w:p>
      <w:pPr>
        <w:pStyle w:val="Aufzhlungszeichen"/>
      </w:pPr>
      <w:r>
        <w:t xml:space="preserve">•  DigComp 3.0 3.1: Digitale Inhalte entwickeln</w:t>
      </w:r>
    </w:p>
    <w:p>
      <w:pPr>
        <w:pStyle w:val="Hinweis"/>
      </w:pPr>
      <w:r>
        <w:t xml:space="preserve">Stand 28.09.2026 · Dieses Material darf für den eigenen Unterricht kopiert und ausgeteilt werden. Verkaufen oder auf anderen Plattformen anbieten ist nicht erlaubt. · schule.klenna.de</w:t>
      </w:r>
    </w:p>
    <w:p>
      <w:r>
        <w:br w:type="page"/>
      </w:r>
    </w:p>
    <w:p>
      <w:pPr>
        <w:pStyle w:val="Hinweis"/>
      </w:pPr>
      <w:r>
        <w:rPr>
          <w:b/>
        </w:rPr>
        <w:t xml:space="preserve">Einstiegsfolie, als Gliederung</w:t>
      </w:r>
    </w:p>
    <w:p>
      <w:pPr>
        <w:pStyle w:val="Titel"/>
      </w:pPr>
      <w:r>
        <w:t xml:space="preserve">„Schreib mir eine Mail.“</w:t>
      </w:r>
    </w:p>
    <w:p>
      <w:pPr>
        <w:pStyle w:val="Aufzhlungszeichen"/>
      </w:pPr>
      <w:r>
        <w:t xml:space="preserve">•  An wen?</w:t>
      </w:r>
    </w:p>
    <w:p>
      <w:pPr>
        <w:pStyle w:val="Aufzhlungszeichen"/>
      </w:pPr>
      <w:r>
        <w:t xml:space="preserve">•  Worum geht es?</w:t>
      </w:r>
    </w:p>
    <w:p>
      <w:pPr>
        <w:pStyle w:val="Aufzhlungszeichen"/>
      </w:pPr>
      <w:r>
        <w:t xml:space="preserve">•  Wie lang, welcher Ton?</w:t>
      </w:r>
    </w:p>
    <w:p>
      <w:pPr>
        <w:pStyle w:val="Aufzhlungszeichen"/>
      </w:pPr>
      <w:r>
        <w:t xml:space="preserve">•  Was soll nicht drinstehen?</w:t>
      </w:r>
    </w:p>
    <w:p>
      <w:r>
        <w:rPr>
          <w:b/>
        </w:rPr>
        <w:t xml:space="preserve">Was müsste die KI wissen, damit diese Mail passt?</w:t>
      </w:r>
    </w:p>
    <w:p>
      <w:pPr>
        <w:pStyle w:val="berschrift2"/>
      </w:pPr>
      <w:r>
        <w:t xml:space="preserve">Für Sie, nicht für die Wand</w:t>
      </w:r>
    </w:p>
    <w:p>
      <w:r>
        <w:t xml:space="preserve">Die vier Fragen erst aufdecken, wenn die Klasse selbst darauf gekommen ist. Sie sind die vier Teile, um die es in der Stunde geht.</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Arial" w:hAnsi="Arial" w:eastAsia="Arial" w:cs="Arial"/>
        <w:sz w:val="22"/>
        <w:szCs w:val="22"/>
        <w:lang w:val="de-DE"/>
      </w:rPr>
    </w:rPrDefault>
    <w:pPrDefault>
      <w:pPr>
        <w:spacing w:after="120" w:line="276" w:lineRule="auto"/>
      </w:pPr>
    </w:pPrDefault>
  </w:docDefaults>
  <w:style w:type="paragraph" w:default="1" w:styleId="Standard">
    <w:name w:val="Normal"/>
    <w:qFormat/>
    <w:rPr>
      <w:rFonts w:ascii="Arial" w:hAnsi="Arial" w:eastAsia="Arial" w:cs="Arial"/>
      <w:sz w:val="22"/>
      <w:szCs w:val="22"/>
    </w:rPr>
  </w:style>
  <w:style w:type="paragraph" w:styleId="Titel">
    <w:name w:val="Title"/>
    <w:basedOn w:val="Standard"/>
    <w:next w:val="Standard"/>
    <w:qFormat/>
    <w:pPr>
      <w:spacing w:after="80"/>
    </w:pPr>
    <w:rPr>
      <w:b/>
      <w:sz w:val="40"/>
      <w:szCs w:val="40"/>
    </w:rPr>
  </w:style>
  <w:style w:type="paragraph" w:styleId="berschrift1">
    <w:name w:val="heading 1"/>
    <w:basedOn w:val="Standard"/>
    <w:next w:val="Standard"/>
    <w:qFormat/>
    <w:pPr>
      <w:keepNext/>
      <w:spacing w:before="240" w:after="80"/>
      <w:outlineLvl w:val="0"/>
    </w:pPr>
    <w:rPr>
      <w:b/>
      <w:sz w:val="28"/>
      <w:szCs w:val="28"/>
    </w:rPr>
  </w:style>
  <w:style w:type="paragraph" w:styleId="berschrift2">
    <w:name w:val="heading 2"/>
    <w:basedOn w:val="Standard"/>
    <w:next w:val="Standard"/>
    <w:qFormat/>
    <w:pPr>
      <w:keepNext/>
      <w:spacing w:before="160" w:after="60"/>
      <w:outlineLvl w:val="1"/>
    </w:pPr>
    <w:rPr>
      <w:b/>
      <w:sz w:val="24"/>
      <w:szCs w:val="24"/>
    </w:rPr>
  </w:style>
  <w:style w:type="paragraph" w:styleId="Aufzhlungszeichen">
    <w:name w:val="List Bullet"/>
    <w:basedOn w:val="Standard"/>
    <w:next w:val="Standard"/>
    <w:pPr>
      <w:ind w:left="360" w:hanging="240"/>
      <w:spacing w:after="60"/>
    </w:pPr>
    <w:rPr/>
  </w:style>
  <w:style w:type="paragraph" w:styleId="Hinweis">
    <w:name w:val="Hinweis"/>
    <w:basedOn w:val="Standard"/>
    <w:next w:val="Standard"/>
    <w:qFormat/>
    <w:pPr>
      <w:spacing w:after="80"/>
    </w:pPr>
    <w:rPr>
      <w:color w:val="474747"/>
      <w:sz w:val="20"/>
      <w:szCs w:val="20"/>
    </w:rPr>
  </w:style>
  <w:style w:type="paragraph" w:styleId="Tabelle">
    <w:name w:val="Tabelle"/>
    <w:basedOn w:val="Standard"/>
    <w:next w:val="Standard"/>
    <w:pPr>
      <w:spacing w:after="0" w:line="240" w:lineRule="auto"/>
    </w:pPr>
    <w:rPr>
      <w:sz w:val="20"/>
      <w:szCs w:val="20"/>
    </w:rPr>
  </w:style>
  <w:style w:type="table" w:styleId="Tabellengitter">
    <w:name w:val="Table Grid"/>
    <w:tblPr>
      <w:tblBorders>
        <w:top w:val="single" w:sz="4" w:space="0" w:color="8C8C8C"/>
        <w:left w:val="single" w:sz="4" w:space="0" w:color="8C8C8C"/>
        <w:bottom w:val="single" w:sz="4" w:space="0" w:color="8C8C8C"/>
        <w:right w:val="single" w:sz="4" w:space="0" w:color="8C8C8C"/>
        <w:insideH w:val="single" w:sz="4" w:space="0" w:color="8C8C8C"/>
        <w:insideV w:val="single" w:sz="4" w:space="0" w:color="8C8C8C"/>
      </w:tblBorders>
      <w:tblCellMar>
        <w:top w:w="60" w:type="dxa"/>
        <w:left w:w="100" w:type="dxa"/>
        <w:bottom w:w="6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dc:title>Stundenentwurf: Dein erster richtiger Prompt</dc:title>
  <dc:creator>Klenna</dc:creator>
  <dc:language>de-DE</dc:language>
</cp:coreProperties>
</file>